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42" w:rsidRPr="000353C4" w:rsidRDefault="00EA4942" w:rsidP="00EA4942">
      <w:pPr>
        <w:jc w:val="right"/>
        <w:rPr>
          <w:rFonts w:ascii="Times New Roman" w:hAnsi="Times New Roman" w:cs="Times New Roman"/>
        </w:rPr>
      </w:pPr>
      <w:bookmarkStart w:id="0" w:name="OLE_LINK2"/>
      <w:r w:rsidRPr="000353C4">
        <w:rPr>
          <w:rFonts w:ascii="Times New Roman" w:hAnsi="Times New Roman" w:cs="Times New Roman"/>
        </w:rPr>
        <w:t>Załącznik nr</w:t>
      </w:r>
      <w:r w:rsidR="008A5192">
        <w:rPr>
          <w:rFonts w:ascii="Times New Roman" w:hAnsi="Times New Roman" w:cs="Times New Roman"/>
        </w:rPr>
        <w:t xml:space="preserve"> 2 część 9 do zapytania nr SGA.261.16.2026</w:t>
      </w:r>
    </w:p>
    <w:p w:rsidR="00EA4942" w:rsidRPr="000353C4" w:rsidRDefault="00EA4942" w:rsidP="00EA4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3C4">
        <w:rPr>
          <w:rFonts w:ascii="Times New Roman" w:hAnsi="Times New Roman" w:cs="Times New Roman"/>
          <w:b/>
        </w:rPr>
        <w:t>Opis przedmiotu zamówienia</w:t>
      </w:r>
      <w:r>
        <w:rPr>
          <w:rFonts w:ascii="Times New Roman" w:hAnsi="Times New Roman" w:cs="Times New Roman"/>
          <w:b/>
        </w:rPr>
        <w:t xml:space="preserve"> </w:t>
      </w:r>
      <w:r w:rsidR="008A5192">
        <w:rPr>
          <w:rFonts w:ascii="Times New Roman" w:hAnsi="Times New Roman" w:cs="Times New Roman"/>
          <w:b/>
        </w:rPr>
        <w:t>– część 9</w:t>
      </w:r>
    </w:p>
    <w:p w:rsidR="00EA4942" w:rsidRDefault="00EA4942" w:rsidP="00EA49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53C4">
        <w:rPr>
          <w:rFonts w:ascii="Times New Roman" w:hAnsi="Times New Roman" w:cs="Times New Roman"/>
        </w:rPr>
        <w:t xml:space="preserve">(Parametry </w:t>
      </w:r>
      <w:proofErr w:type="spellStart"/>
      <w:r w:rsidRPr="000353C4">
        <w:rPr>
          <w:rFonts w:ascii="Times New Roman" w:hAnsi="Times New Roman" w:cs="Times New Roman"/>
        </w:rPr>
        <w:t>techniczn</w:t>
      </w:r>
      <w:r>
        <w:rPr>
          <w:rFonts w:ascii="Times New Roman" w:hAnsi="Times New Roman" w:cs="Times New Roman"/>
        </w:rPr>
        <w:t>o</w:t>
      </w:r>
      <w:proofErr w:type="spellEnd"/>
      <w:r w:rsidRPr="000353C4">
        <w:rPr>
          <w:rFonts w:ascii="Times New Roman" w:hAnsi="Times New Roman" w:cs="Times New Roman"/>
        </w:rPr>
        <w:t xml:space="preserve"> – użytkowe) </w:t>
      </w:r>
    </w:p>
    <w:p w:rsidR="00AB5CDB" w:rsidRDefault="00AB5CDB" w:rsidP="008A51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5CDB" w:rsidRPr="00662259" w:rsidRDefault="006906B4" w:rsidP="00AB5C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Aparat do </w:t>
      </w:r>
      <w:r w:rsidR="00CA5235">
        <w:rPr>
          <w:rFonts w:ascii="Times New Roman" w:hAnsi="Times New Roman" w:cs="Times New Roman"/>
          <w:b/>
        </w:rPr>
        <w:t>elektroterapii</w:t>
      </w:r>
      <w:r w:rsidR="00600270">
        <w:rPr>
          <w:rFonts w:ascii="Times New Roman" w:hAnsi="Times New Roman" w:cs="Times New Roman"/>
          <w:b/>
        </w:rPr>
        <w:t xml:space="preserve"> – 2 szt.</w:t>
      </w:r>
    </w:p>
    <w:p w:rsidR="00AB5CDB" w:rsidRPr="000353C4" w:rsidRDefault="00AB5CDB" w:rsidP="00AB5CD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731"/>
        <w:gridCol w:w="1938"/>
        <w:gridCol w:w="2693"/>
      </w:tblGrid>
      <w:tr w:rsidR="008A5192" w:rsidRPr="000C51C6" w:rsidTr="008A5192">
        <w:trPr>
          <w:cantSplit/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:rsidR="008A5192" w:rsidRPr="000C51C6" w:rsidRDefault="008A519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Lp.</w:t>
            </w:r>
          </w:p>
          <w:p w:rsidR="008A5192" w:rsidRPr="000C51C6" w:rsidRDefault="008A519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shd w:val="clear" w:color="auto" w:fill="BFBFBF" w:themeFill="background1" w:themeFillShade="BF"/>
            <w:vAlign w:val="center"/>
          </w:tcPr>
          <w:p w:rsidR="008A5192" w:rsidRPr="000C51C6" w:rsidRDefault="008A519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938" w:type="dxa"/>
            <w:shd w:val="clear" w:color="auto" w:fill="BFBFBF" w:themeFill="background1" w:themeFillShade="BF"/>
            <w:vAlign w:val="center"/>
          </w:tcPr>
          <w:p w:rsidR="008A5192" w:rsidRPr="000C51C6" w:rsidRDefault="008A519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8A5192" w:rsidRPr="000C51C6" w:rsidRDefault="008A519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</w:tr>
      <w:tr w:rsidR="008A5192" w:rsidRPr="000C51C6" w:rsidTr="008A519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576C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3"/>
            <w:shd w:val="clear" w:color="auto" w:fill="FFFFFF" w:themeFill="background1"/>
            <w:vAlign w:val="center"/>
          </w:tcPr>
          <w:p w:rsidR="008A5192" w:rsidRPr="000C51C6" w:rsidRDefault="008A519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8A5192" w:rsidRPr="000C51C6" w:rsidTr="008A5192">
        <w:trPr>
          <w:cantSplit/>
          <w:trHeight w:val="28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576CBB">
            <w:pPr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Producent.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576CBB">
            <w:pPr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8A5192" w:rsidRPr="000C51C6" w:rsidRDefault="008A519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A5192" w:rsidRPr="000C51C6" w:rsidTr="008A519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576CBB">
            <w:pPr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Model/typ.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576CBB">
            <w:pPr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8A5192" w:rsidRPr="000C51C6" w:rsidRDefault="008A519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A5192" w:rsidRPr="000C51C6" w:rsidTr="008A519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Urządzenie oraz wszystkie elementy składowe -  fabrycznie nowe, rok produkcji 2026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8A5192" w:rsidRPr="000C51C6" w:rsidRDefault="008A519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bookmarkStart w:id="1" w:name="_GoBack"/>
        <w:bookmarkEnd w:id="1"/>
      </w:tr>
      <w:tr w:rsidR="008A5192" w:rsidRPr="000C51C6" w:rsidTr="008A5192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Dwukanałowy aparat do elektroterapii, dwa niezależne kanały zabiegowe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8A5192" w:rsidRPr="000C51C6" w:rsidRDefault="008A519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A5192" w:rsidRPr="000C51C6" w:rsidTr="008A5192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Zasilanie: 230V/50Hz (+/- 10%)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8A5192" w:rsidRPr="000C51C6" w:rsidRDefault="008A519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A5192" w:rsidRPr="000C51C6" w:rsidTr="008A5192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D8172A">
            <w:pPr>
              <w:tabs>
                <w:tab w:val="left" w:pos="146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Duży czytelny wyświetlacz o przekątnej min. 5”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8A5192" w:rsidRPr="000C51C6" w:rsidRDefault="008A519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A5192" w:rsidRPr="000C51C6" w:rsidTr="008A5192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Ekran dotykowy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8A5192" w:rsidRPr="000C51C6" w:rsidRDefault="008A519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A5192" w:rsidRPr="000C51C6" w:rsidTr="008A5192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Menu w języku polskim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8A5192" w:rsidRPr="000C51C6" w:rsidRDefault="008A519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A5192" w:rsidRPr="000C51C6" w:rsidTr="008A5192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Niezależna terapia 2 pacjentów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8A5192" w:rsidRPr="000C51C6" w:rsidRDefault="008A519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A5192" w:rsidRPr="000C51C6" w:rsidTr="008A5192">
        <w:trPr>
          <w:cantSplit/>
          <w:trHeight w:val="379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Wyłącznik czasowy aparatu i ekranu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3" w:type="dxa"/>
            <w:vAlign w:val="center"/>
          </w:tcPr>
          <w:p w:rsidR="008A5192" w:rsidRPr="000C51C6" w:rsidRDefault="008A5192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192" w:rsidRPr="000C51C6" w:rsidTr="008A5192">
        <w:trPr>
          <w:cantSplit/>
          <w:trHeight w:val="556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2F2BE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2F2BE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C51C6">
              <w:rPr>
                <w:rFonts w:ascii="Times New Roman" w:eastAsia="Calibri" w:hAnsi="Times New Roman" w:cs="Times New Roman"/>
                <w:lang w:eastAsia="en-US"/>
              </w:rPr>
              <w:t>Możliwość zapisywania pacjentów oraz przypisywania im jednostek chorobowych do szybkiego uruchomienia aparatu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2F2B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693" w:type="dxa"/>
            <w:vAlign w:val="center"/>
          </w:tcPr>
          <w:p w:rsidR="008A5192" w:rsidRPr="000C51C6" w:rsidRDefault="008A5192" w:rsidP="002F2B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192" w:rsidRPr="000C51C6" w:rsidTr="008A5192">
        <w:trPr>
          <w:cantSplit/>
          <w:trHeight w:val="312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576CBB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C51C6">
              <w:rPr>
                <w:rFonts w:ascii="Times New Roman" w:eastAsia="Calibri" w:hAnsi="Times New Roman" w:cs="Times New Roman"/>
                <w:lang w:eastAsia="en-US"/>
              </w:rPr>
              <w:t>Encyklopedia anatomiczna (obrazkowa )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693" w:type="dxa"/>
            <w:vAlign w:val="center"/>
          </w:tcPr>
          <w:p w:rsidR="008A5192" w:rsidRPr="000C51C6" w:rsidRDefault="008A5192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192" w:rsidRPr="000C51C6" w:rsidTr="008A5192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271D7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271D7E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C51C6">
              <w:rPr>
                <w:rFonts w:ascii="Times New Roman" w:eastAsia="Calibri" w:hAnsi="Times New Roman" w:cs="Times New Roman"/>
                <w:lang w:eastAsia="en-US"/>
              </w:rPr>
              <w:t>Szeroki zakres elektrodiagnostyki: określanie reobazy, chronaksji, krzywej I/t, współczynnika akomodacji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3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192" w:rsidRPr="000C51C6" w:rsidTr="008A5192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271D7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271D7E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C51C6">
              <w:rPr>
                <w:rFonts w:ascii="Times New Roman" w:eastAsia="Calibri" w:hAnsi="Times New Roman" w:cs="Times New Roman"/>
                <w:lang w:eastAsia="en-US"/>
              </w:rPr>
              <w:t>Rodzaje prądów min.:</w:t>
            </w:r>
          </w:p>
          <w:p w:rsidR="008A5192" w:rsidRPr="000C51C6" w:rsidRDefault="008A5192" w:rsidP="00271D7E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C51C6">
              <w:rPr>
                <w:rFonts w:ascii="Times New Roman" w:eastAsia="Calibri" w:hAnsi="Times New Roman" w:cs="Times New Roman"/>
                <w:lang w:eastAsia="en-US"/>
              </w:rPr>
              <w:t>- Galwaniczny,</w:t>
            </w:r>
          </w:p>
          <w:p w:rsidR="008A5192" w:rsidRPr="000C51C6" w:rsidRDefault="008A5192" w:rsidP="00271D7E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  <w:color w:val="1E1E1E"/>
                <w:shd w:val="clear" w:color="auto" w:fill="FFFFFF"/>
              </w:rPr>
            </w:pPr>
            <w:r w:rsidRPr="000C51C6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Pr="000C51C6">
              <w:rPr>
                <w:rFonts w:ascii="Times New Roman" w:hAnsi="Times New Roman" w:cs="Times New Roman"/>
              </w:rPr>
              <w:t>D</w:t>
            </w:r>
            <w:r w:rsidRPr="000C51C6">
              <w:rPr>
                <w:rFonts w:ascii="Times New Roman" w:hAnsi="Times New Roman" w:cs="Times New Roman"/>
                <w:color w:val="1E1E1E"/>
                <w:shd w:val="clear" w:color="auto" w:fill="FFFFFF"/>
              </w:rPr>
              <w:t>iadynamiczne,</w:t>
            </w:r>
          </w:p>
          <w:p w:rsidR="008A5192" w:rsidRPr="000C51C6" w:rsidRDefault="008A5192" w:rsidP="00271D7E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Pr="000C51C6">
              <w:rPr>
                <w:rFonts w:ascii="Times New Roman" w:hAnsi="Times New Roman" w:cs="Times New Roman"/>
              </w:rPr>
              <w:t xml:space="preserve">TENS (symetryczny, falujący, asymetryczny, </w:t>
            </w:r>
            <w:proofErr w:type="spellStart"/>
            <w:r w:rsidRPr="000C51C6">
              <w:rPr>
                <w:rFonts w:ascii="Times New Roman" w:hAnsi="Times New Roman" w:cs="Times New Roman"/>
              </w:rPr>
              <w:t>bursty</w:t>
            </w:r>
            <w:proofErr w:type="spellEnd"/>
            <w:r w:rsidRPr="000C51C6">
              <w:rPr>
                <w:rFonts w:ascii="Times New Roman" w:hAnsi="Times New Roman" w:cs="Times New Roman"/>
              </w:rPr>
              <w:t>),</w:t>
            </w:r>
          </w:p>
          <w:p w:rsidR="008A5192" w:rsidRPr="000C51C6" w:rsidRDefault="008A5192" w:rsidP="00190FCC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proofErr w:type="spellStart"/>
            <w:r w:rsidRPr="000C51C6">
              <w:rPr>
                <w:rFonts w:ascii="Times New Roman" w:hAnsi="Times New Roman" w:cs="Times New Roman"/>
              </w:rPr>
              <w:t>Träberta</w:t>
            </w:r>
            <w:proofErr w:type="spellEnd"/>
            <w:r w:rsidRPr="000C51C6">
              <w:rPr>
                <w:rFonts w:ascii="Times New Roman" w:hAnsi="Times New Roman" w:cs="Times New Roman"/>
              </w:rPr>
              <w:t>,</w:t>
            </w:r>
          </w:p>
          <w:p w:rsidR="008A5192" w:rsidRPr="000C51C6" w:rsidRDefault="008A5192" w:rsidP="00190FCC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Faradaya,</w:t>
            </w:r>
          </w:p>
          <w:p w:rsidR="008A5192" w:rsidRPr="000C51C6" w:rsidRDefault="008A5192" w:rsidP="00190FCC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C51C6">
              <w:rPr>
                <w:rFonts w:ascii="Times New Roman" w:hAnsi="Times New Roman" w:cs="Times New Roman"/>
              </w:rPr>
              <w:t>Neofaradyczny</w:t>
            </w:r>
            <w:proofErr w:type="spellEnd"/>
            <w:r w:rsidRPr="000C51C6">
              <w:rPr>
                <w:rFonts w:ascii="Times New Roman" w:hAnsi="Times New Roman" w:cs="Times New Roman"/>
              </w:rPr>
              <w:t>,</w:t>
            </w:r>
          </w:p>
          <w:p w:rsidR="008A5192" w:rsidRPr="000C51C6" w:rsidRDefault="008A5192" w:rsidP="00190FCC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Rosyjska stymulacja (</w:t>
            </w:r>
            <w:proofErr w:type="spellStart"/>
            <w:r w:rsidRPr="000C51C6">
              <w:rPr>
                <w:rFonts w:ascii="Times New Roman" w:hAnsi="Times New Roman" w:cs="Times New Roman"/>
              </w:rPr>
              <w:t>Kotza</w:t>
            </w:r>
            <w:proofErr w:type="spellEnd"/>
            <w:r w:rsidRPr="000C51C6">
              <w:rPr>
                <w:rFonts w:ascii="Times New Roman" w:hAnsi="Times New Roman" w:cs="Times New Roman"/>
              </w:rPr>
              <w:t>),</w:t>
            </w:r>
          </w:p>
          <w:p w:rsidR="008A5192" w:rsidRPr="000C51C6" w:rsidRDefault="008A5192" w:rsidP="00190FCC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Impulsy stymulujące,</w:t>
            </w:r>
          </w:p>
          <w:p w:rsidR="008A5192" w:rsidRPr="000C51C6" w:rsidRDefault="008A5192" w:rsidP="00190FCC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Impulsy prostokątne,</w:t>
            </w:r>
          </w:p>
          <w:p w:rsidR="008A5192" w:rsidRPr="000C51C6" w:rsidRDefault="008A5192" w:rsidP="00190FCC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Impulsy trójkątne,</w:t>
            </w:r>
          </w:p>
          <w:p w:rsidR="008A5192" w:rsidRPr="000C51C6" w:rsidRDefault="008A5192" w:rsidP="00190FCC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Impulsy ekspotencjalne,</w:t>
            </w:r>
          </w:p>
          <w:p w:rsidR="008A5192" w:rsidRPr="000C51C6" w:rsidRDefault="008A5192" w:rsidP="00190FCC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- 2 polowa interferencja,</w:t>
            </w:r>
          </w:p>
          <w:p w:rsidR="008A5192" w:rsidRPr="000C51C6" w:rsidRDefault="008A5192" w:rsidP="000C51C6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- 4 polowa interferencja,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192" w:rsidRPr="000C51C6" w:rsidTr="008A5192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271D7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271D7E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C51C6">
              <w:rPr>
                <w:rFonts w:ascii="Times New Roman" w:eastAsia="Calibri" w:hAnsi="Times New Roman" w:cs="Times New Roman"/>
                <w:lang w:eastAsia="en-US"/>
              </w:rPr>
              <w:t>Regulacja natężenia w obwodzie pacjenta jednocześnie dla obu kanałów lub osobno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3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192" w:rsidRPr="000C51C6" w:rsidTr="008A5192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271D7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271D7E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C51C6">
              <w:rPr>
                <w:rFonts w:ascii="Times New Roman" w:eastAsia="Calibri" w:hAnsi="Times New Roman" w:cs="Times New Roman"/>
                <w:lang w:eastAsia="en-US"/>
              </w:rPr>
              <w:t xml:space="preserve">Pełna gama prądów o niskich i średnich częstotliwościach 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3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192" w:rsidRPr="000C51C6" w:rsidTr="008A5192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271D7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271D7E">
            <w:pPr>
              <w:tabs>
                <w:tab w:val="left" w:pos="1176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C51C6">
              <w:rPr>
                <w:rFonts w:ascii="Times New Roman" w:eastAsia="Calibri" w:hAnsi="Times New Roman" w:cs="Times New Roman"/>
                <w:lang w:eastAsia="en-US"/>
              </w:rPr>
              <w:t>Płynna modyfikacja parametrów prądów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3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192" w:rsidRPr="000C51C6" w:rsidTr="008A5192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271D7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271D7E">
            <w:pPr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Wbudowana baza gotowych programów terapeutycznych i encyklopedia terapii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3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192" w:rsidRPr="000C51C6" w:rsidTr="008A5192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271D7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271D7E">
            <w:pPr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Możliwość tworzenia i zapisywania własnych programów terapeutycznych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3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192" w:rsidRPr="000C51C6" w:rsidTr="008A5192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271D7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271D7E">
            <w:pPr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Praca w trybach CC (stabilizacja prądu) lub CV (stabilizacja napięcia)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3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192" w:rsidRPr="000C51C6" w:rsidTr="008A5192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271D7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271D7E">
            <w:pPr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 xml:space="preserve">Możliwość zmiany polaryzacji elektrod 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3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192" w:rsidRPr="000C51C6" w:rsidTr="008A5192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271D7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271D7E">
            <w:pPr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Kontrola kontaktu elektrod ze skórą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3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192" w:rsidRPr="000C51C6" w:rsidTr="008A5192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271D7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271D7E">
            <w:pPr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Sygnały dźwiękowe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3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192" w:rsidRPr="000C51C6" w:rsidTr="008A5192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271D7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271D7E">
            <w:pPr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Podgląd (interpretacja graficzna) płynącego prądu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693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192" w:rsidRPr="000C51C6" w:rsidTr="008A5192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271D7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271D7E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C51C6">
              <w:rPr>
                <w:rFonts w:ascii="Times New Roman" w:eastAsia="Calibri" w:hAnsi="Times New Roman" w:cs="Times New Roman"/>
                <w:lang w:eastAsia="en-US"/>
              </w:rPr>
              <w:t>Możliwość rozbudowy do 4 różnych terapii w jednym aparacie - elektroterapia, ultradźwięki, laser i magnetoterapia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3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192" w:rsidRPr="000C51C6" w:rsidTr="008A5192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271D7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271D7E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00928">
              <w:rPr>
                <w:rFonts w:ascii="Times New Roman" w:eastAsia="Calibri" w:hAnsi="Times New Roman" w:cs="Times New Roman"/>
                <w:lang w:eastAsia="en-US"/>
              </w:rPr>
              <w:t xml:space="preserve">Zestaw akcesoriów niezbędnych do prowadzania terapii (kable pacjenta, elektrody </w:t>
            </w:r>
            <w:r>
              <w:rPr>
                <w:rFonts w:ascii="Times New Roman" w:eastAsia="Calibri" w:hAnsi="Times New Roman" w:cs="Times New Roman"/>
                <w:lang w:eastAsia="en-US"/>
              </w:rPr>
              <w:t>itp.)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3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192" w:rsidRPr="000C51C6" w:rsidTr="008A5192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271D7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271D7E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C51C6">
              <w:rPr>
                <w:rFonts w:ascii="Times New Roman" w:hAnsi="Times New Roman" w:cs="Times New Roman"/>
              </w:rPr>
              <w:t>W zestawie oryginalny wózek producenta dedykowany do aparatu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3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192" w:rsidRPr="000C51C6" w:rsidTr="008A519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271D7E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362" w:type="dxa"/>
            <w:gridSpan w:val="3"/>
            <w:vAlign w:val="center"/>
          </w:tcPr>
          <w:p w:rsidR="008A5192" w:rsidRPr="000C51C6" w:rsidRDefault="008A5192" w:rsidP="00271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51C6">
              <w:rPr>
                <w:rFonts w:ascii="Times New Roman" w:hAnsi="Times New Roman" w:cs="Times New Roman"/>
                <w:b/>
              </w:rPr>
              <w:t>POZOSTAŁE WYMAGANIA</w:t>
            </w:r>
          </w:p>
        </w:tc>
      </w:tr>
      <w:tr w:rsidR="008A5192" w:rsidRPr="000C51C6" w:rsidTr="008A519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271D7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271D7E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Okres gwarancji – min. 24 miesiące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693" w:type="dxa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192" w:rsidRPr="000C51C6" w:rsidTr="008A519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271D7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271D7E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Wliczone w cenę przeglądy okresowe w okresie gwarancji (o częstotliwości i zakresie zgodnym z wymogami producenta), co najmniej 1 przegląd w okresie gwarancji.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3" w:type="dxa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192" w:rsidRPr="000C51C6" w:rsidTr="008A519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271D7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271D7E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 xml:space="preserve">Informacje dotyczące wymaganych/zalecanych przeglądów przez producenta po okresie gwarancji (przy dostawie). Podać : </w:t>
            </w:r>
          </w:p>
          <w:p w:rsidR="008A5192" w:rsidRPr="000C51C6" w:rsidRDefault="008A5192" w:rsidP="00271D7E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częstotliwość przeglądów</w:t>
            </w:r>
          </w:p>
          <w:p w:rsidR="008A5192" w:rsidRPr="000C51C6" w:rsidRDefault="008A5192" w:rsidP="00271D7E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wykaz czynności wykonywanych przy przeglądzie (lista kontrolna)</w:t>
            </w:r>
          </w:p>
          <w:p w:rsidR="008A5192" w:rsidRPr="000C51C6" w:rsidRDefault="008A5192" w:rsidP="00271D7E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wykaz części podlegających okresowej wymianie z podaniem zalecanej częstotliwości ich wymiany.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3" w:type="dxa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192" w:rsidRPr="000C51C6" w:rsidTr="008A519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271D7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Instrukcja obsługi w języku polskim (przy dostawie) – 1 szt. w wersji papierowej i w wersji elektronicznej.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3" w:type="dxa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192" w:rsidRPr="000C51C6" w:rsidTr="008A519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271D7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Dokumentacja serwisowa i/lub oprogramowanie serwisowe na potrzeby Zamawiającego (dokumentacja zapewniająca co najmniej diagnostykę urządzenia, wykonywanie drobnych napraw, regulacji, etc.) (dotyczy myjni, przy dostawie)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3" w:type="dxa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192" w:rsidRPr="000C51C6" w:rsidTr="008A519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271D7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Instrukcja konserwacji, mycia, dezynfekcji i sterylizacji dla poszczególnych elementów oferowanej konfiguracji (przy dostawie) – 1 szt. w wersji papierowej i w wersji elektronicznej.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3" w:type="dxa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192" w:rsidRPr="000C51C6" w:rsidTr="008A519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271D7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Możliwość mycia i dezynfekcji poszczególnych elementów urządzenia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3" w:type="dxa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192" w:rsidRPr="000C51C6" w:rsidTr="008A519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271D7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8A5192" w:rsidRPr="000C51C6" w:rsidRDefault="008A5192" w:rsidP="00271D7E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Calibri" w:hAnsi="Times New Roman" w:cs="Times New Roman"/>
                <w:lang w:eastAsia="en-US"/>
              </w:rPr>
              <w:t>Oznakowanie CE - deklaracja zgodności / certyfikat CE.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3" w:type="dxa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192" w:rsidRPr="000C51C6" w:rsidTr="008A519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271D7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Wliczona w cenę dostawa, montaż i uruchomienie, przeszkolenie personelu medycznego, technicznego w zakresie eksploatacji i obsługi udokumentowane imiennymi zaświadczeniami.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93" w:type="dxa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192" w:rsidRPr="000C51C6" w:rsidTr="008A519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271D7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Producent urządzenia/urządzeń posiada wdrożoną normę zarządzania środowiskowego PN-EN ISO 14001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693" w:type="dxa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192" w:rsidRPr="000C51C6" w:rsidTr="008A519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271D7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Przy produkcji urządzenia/urządzeń ograniczono użycie substancji niebezpiecznych, zgodnie z Dyrektywą UE RoHS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693" w:type="dxa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192" w:rsidRPr="000C51C6" w:rsidTr="008A519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271D7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Materiały użyte do budowy urządzenia/urządzeń nadają się do recyklingu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693" w:type="dxa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192" w:rsidRPr="000C51C6" w:rsidTr="008A519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271D7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Części zamienne urządzenia/urządzeń nadają się do odzysku lub naprawy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693" w:type="dxa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192" w:rsidRPr="000C51C6" w:rsidTr="008A519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A5192" w:rsidRPr="000C51C6" w:rsidRDefault="008A5192" w:rsidP="00271D7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Szkolenie z obsługi i eksploatacji urządzenia/urządzeń obejmuje zasady postępowania minimalizujące zużycie energii elektrycznej, wody oraz generowanie odpadów, potwierdzone zaświadczeniem. Instrukcja zawierająca zasady postępowania minimalizujące zużycie energii elektrycznej, wody oraz generowanie odpadów.</w:t>
            </w:r>
          </w:p>
        </w:tc>
        <w:tc>
          <w:tcPr>
            <w:tcW w:w="1938" w:type="dxa"/>
            <w:vAlign w:val="center"/>
          </w:tcPr>
          <w:p w:rsidR="008A5192" w:rsidRPr="000C51C6" w:rsidRDefault="008A5192" w:rsidP="00271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693" w:type="dxa"/>
          </w:tcPr>
          <w:p w:rsidR="008A5192" w:rsidRPr="000C51C6" w:rsidRDefault="008A5192" w:rsidP="00271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B5CDB" w:rsidRPr="000C5CD3" w:rsidRDefault="00AB5CDB" w:rsidP="00AB5CDB"/>
    <w:p w:rsidR="00AB5CDB" w:rsidRDefault="00AB5CDB" w:rsidP="00AB5CDB"/>
    <w:p w:rsidR="00AB5CDB" w:rsidRDefault="00AB5CDB" w:rsidP="00AB5CDB"/>
    <w:p w:rsidR="00AB5CDB" w:rsidRDefault="00AB5CDB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bookmarkEnd w:id="0"/>
    <w:sectPr w:rsidR="00AB5CDB" w:rsidSect="00302F52">
      <w:head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682" w:rsidRDefault="00992682" w:rsidP="007061C2">
      <w:pPr>
        <w:spacing w:after="0" w:line="240" w:lineRule="auto"/>
      </w:pPr>
      <w:r>
        <w:separator/>
      </w:r>
    </w:p>
  </w:endnote>
  <w:endnote w:type="continuationSeparator" w:id="0">
    <w:p w:rsidR="00992682" w:rsidRDefault="00992682" w:rsidP="0070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682" w:rsidRDefault="00992682" w:rsidP="007061C2">
      <w:pPr>
        <w:spacing w:after="0" w:line="240" w:lineRule="auto"/>
      </w:pPr>
      <w:r>
        <w:separator/>
      </w:r>
    </w:p>
  </w:footnote>
  <w:footnote w:type="continuationSeparator" w:id="0">
    <w:p w:rsidR="00992682" w:rsidRDefault="00992682" w:rsidP="0070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82" w:rsidRDefault="00992682">
    <w:pPr>
      <w:pStyle w:val="Nagwek"/>
    </w:pPr>
    <w:r>
      <w:rPr>
        <w:noProof/>
      </w:rPr>
      <w:drawing>
        <wp:inline distT="0" distB="0" distL="0" distR="0">
          <wp:extent cx="5759450" cy="4946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A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AC3"/>
    <w:multiLevelType w:val="hybridMultilevel"/>
    <w:tmpl w:val="3E1E7F4C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9550CA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17264"/>
    <w:multiLevelType w:val="hybridMultilevel"/>
    <w:tmpl w:val="87D466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96591"/>
    <w:multiLevelType w:val="hybridMultilevel"/>
    <w:tmpl w:val="563A8098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348355E"/>
    <w:multiLevelType w:val="hybridMultilevel"/>
    <w:tmpl w:val="D194DBA6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C41CFD"/>
    <w:multiLevelType w:val="hybridMultilevel"/>
    <w:tmpl w:val="79F66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E6963"/>
    <w:multiLevelType w:val="hybridMultilevel"/>
    <w:tmpl w:val="7D964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77948"/>
    <w:multiLevelType w:val="hybridMultilevel"/>
    <w:tmpl w:val="1A2C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85C6D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C1D7C"/>
    <w:multiLevelType w:val="hybridMultilevel"/>
    <w:tmpl w:val="A3B6FA74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78A1A46"/>
    <w:multiLevelType w:val="hybridMultilevel"/>
    <w:tmpl w:val="306AAFF8"/>
    <w:lvl w:ilvl="0" w:tplc="4BD6BC42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847E46"/>
    <w:multiLevelType w:val="hybridMultilevel"/>
    <w:tmpl w:val="37A08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3239C"/>
    <w:multiLevelType w:val="hybridMultilevel"/>
    <w:tmpl w:val="6C906E70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06E4C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D19E1"/>
    <w:multiLevelType w:val="hybridMultilevel"/>
    <w:tmpl w:val="253A8EFC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BBA1A80"/>
    <w:multiLevelType w:val="hybridMultilevel"/>
    <w:tmpl w:val="B0147402"/>
    <w:lvl w:ilvl="0" w:tplc="4BD6BC42">
      <w:start w:val="1"/>
      <w:numFmt w:val="decimal"/>
      <w:lvlText w:val="%1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EDC47FD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53928"/>
    <w:multiLevelType w:val="hybridMultilevel"/>
    <w:tmpl w:val="050A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962F0"/>
    <w:multiLevelType w:val="hybridMultilevel"/>
    <w:tmpl w:val="DEC6EB86"/>
    <w:lvl w:ilvl="0" w:tplc="773483A6">
      <w:start w:val="79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02D85"/>
    <w:multiLevelType w:val="hybridMultilevel"/>
    <w:tmpl w:val="1E482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F0E2B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0"/>
  </w:num>
  <w:num w:numId="6">
    <w:abstractNumId w:val="12"/>
  </w:num>
  <w:num w:numId="7">
    <w:abstractNumId w:val="18"/>
  </w:num>
  <w:num w:numId="8">
    <w:abstractNumId w:val="7"/>
  </w:num>
  <w:num w:numId="9">
    <w:abstractNumId w:val="21"/>
  </w:num>
  <w:num w:numId="10">
    <w:abstractNumId w:val="17"/>
  </w:num>
  <w:num w:numId="11">
    <w:abstractNumId w:val="11"/>
  </w:num>
  <w:num w:numId="12">
    <w:abstractNumId w:val="16"/>
  </w:num>
  <w:num w:numId="13">
    <w:abstractNumId w:val="4"/>
  </w:num>
  <w:num w:numId="14">
    <w:abstractNumId w:val="15"/>
  </w:num>
  <w:num w:numId="15">
    <w:abstractNumId w:val="10"/>
  </w:num>
  <w:num w:numId="16">
    <w:abstractNumId w:val="14"/>
  </w:num>
  <w:num w:numId="17">
    <w:abstractNumId w:val="13"/>
  </w:num>
  <w:num w:numId="18">
    <w:abstractNumId w:val="19"/>
  </w:num>
  <w:num w:numId="19">
    <w:abstractNumId w:val="9"/>
  </w:num>
  <w:num w:numId="20">
    <w:abstractNumId w:val="1"/>
  </w:num>
  <w:num w:numId="21">
    <w:abstractNumId w:val="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42"/>
    <w:rsid w:val="00000928"/>
    <w:rsid w:val="000314A6"/>
    <w:rsid w:val="0004523C"/>
    <w:rsid w:val="000456C2"/>
    <w:rsid w:val="000525F7"/>
    <w:rsid w:val="00054F5B"/>
    <w:rsid w:val="00056B77"/>
    <w:rsid w:val="00066263"/>
    <w:rsid w:val="00082DA0"/>
    <w:rsid w:val="000C51C6"/>
    <w:rsid w:val="000D0447"/>
    <w:rsid w:val="000D3698"/>
    <w:rsid w:val="000F02BD"/>
    <w:rsid w:val="000F1250"/>
    <w:rsid w:val="00102A70"/>
    <w:rsid w:val="00106783"/>
    <w:rsid w:val="00110846"/>
    <w:rsid w:val="00113408"/>
    <w:rsid w:val="00136883"/>
    <w:rsid w:val="00137A8D"/>
    <w:rsid w:val="001647FD"/>
    <w:rsid w:val="001753BD"/>
    <w:rsid w:val="00181BE3"/>
    <w:rsid w:val="00190FCC"/>
    <w:rsid w:val="00193FEB"/>
    <w:rsid w:val="001B06A8"/>
    <w:rsid w:val="001B7FE7"/>
    <w:rsid w:val="001C2FF0"/>
    <w:rsid w:val="001D4A7F"/>
    <w:rsid w:val="001F1B6D"/>
    <w:rsid w:val="001F27F0"/>
    <w:rsid w:val="002105BD"/>
    <w:rsid w:val="00222344"/>
    <w:rsid w:val="00262341"/>
    <w:rsid w:val="00271D7E"/>
    <w:rsid w:val="002B362E"/>
    <w:rsid w:val="002C2BC6"/>
    <w:rsid w:val="002F02BA"/>
    <w:rsid w:val="002F2BEF"/>
    <w:rsid w:val="00302F52"/>
    <w:rsid w:val="00323012"/>
    <w:rsid w:val="003317FC"/>
    <w:rsid w:val="00337B9D"/>
    <w:rsid w:val="00347D5C"/>
    <w:rsid w:val="003632F4"/>
    <w:rsid w:val="0039195C"/>
    <w:rsid w:val="003A73A7"/>
    <w:rsid w:val="003A7E7B"/>
    <w:rsid w:val="003B3539"/>
    <w:rsid w:val="003D5445"/>
    <w:rsid w:val="003E3325"/>
    <w:rsid w:val="003F7C8D"/>
    <w:rsid w:val="004077E1"/>
    <w:rsid w:val="00420017"/>
    <w:rsid w:val="004223AD"/>
    <w:rsid w:val="004328E2"/>
    <w:rsid w:val="0043308E"/>
    <w:rsid w:val="0043408D"/>
    <w:rsid w:val="004378BD"/>
    <w:rsid w:val="00452091"/>
    <w:rsid w:val="0045719A"/>
    <w:rsid w:val="00480A87"/>
    <w:rsid w:val="00481CDB"/>
    <w:rsid w:val="004977D2"/>
    <w:rsid w:val="004D0186"/>
    <w:rsid w:val="004D2963"/>
    <w:rsid w:val="004D3FEC"/>
    <w:rsid w:val="004F22ED"/>
    <w:rsid w:val="004F2C3A"/>
    <w:rsid w:val="00503B60"/>
    <w:rsid w:val="0051020C"/>
    <w:rsid w:val="00522CD2"/>
    <w:rsid w:val="00531B59"/>
    <w:rsid w:val="00544091"/>
    <w:rsid w:val="005911A7"/>
    <w:rsid w:val="005913C2"/>
    <w:rsid w:val="00594D17"/>
    <w:rsid w:val="005B16B2"/>
    <w:rsid w:val="005D08C8"/>
    <w:rsid w:val="005D49A9"/>
    <w:rsid w:val="005E549A"/>
    <w:rsid w:val="00600270"/>
    <w:rsid w:val="00610532"/>
    <w:rsid w:val="0061375F"/>
    <w:rsid w:val="006276FC"/>
    <w:rsid w:val="00631FAC"/>
    <w:rsid w:val="00632F08"/>
    <w:rsid w:val="006416ED"/>
    <w:rsid w:val="00641ADD"/>
    <w:rsid w:val="00647EAF"/>
    <w:rsid w:val="006649AD"/>
    <w:rsid w:val="00664E8E"/>
    <w:rsid w:val="0068317D"/>
    <w:rsid w:val="006906B4"/>
    <w:rsid w:val="00697B69"/>
    <w:rsid w:val="006A0C35"/>
    <w:rsid w:val="006A3EA6"/>
    <w:rsid w:val="006C0B9E"/>
    <w:rsid w:val="006C35ED"/>
    <w:rsid w:val="006D3AEE"/>
    <w:rsid w:val="006E31CE"/>
    <w:rsid w:val="006E3823"/>
    <w:rsid w:val="00702F4F"/>
    <w:rsid w:val="007061C2"/>
    <w:rsid w:val="00713611"/>
    <w:rsid w:val="00713645"/>
    <w:rsid w:val="00714E54"/>
    <w:rsid w:val="0073084F"/>
    <w:rsid w:val="00731610"/>
    <w:rsid w:val="00735DB0"/>
    <w:rsid w:val="0075280B"/>
    <w:rsid w:val="00757A56"/>
    <w:rsid w:val="00775BA2"/>
    <w:rsid w:val="00786EDE"/>
    <w:rsid w:val="007A7730"/>
    <w:rsid w:val="007C5AD8"/>
    <w:rsid w:val="007D1035"/>
    <w:rsid w:val="007F40B3"/>
    <w:rsid w:val="007F53F9"/>
    <w:rsid w:val="007F6F50"/>
    <w:rsid w:val="00802FC5"/>
    <w:rsid w:val="00804DA5"/>
    <w:rsid w:val="00805951"/>
    <w:rsid w:val="00812FCC"/>
    <w:rsid w:val="00822ABA"/>
    <w:rsid w:val="00846B02"/>
    <w:rsid w:val="00876954"/>
    <w:rsid w:val="00886C89"/>
    <w:rsid w:val="008934F2"/>
    <w:rsid w:val="008A5192"/>
    <w:rsid w:val="008B3045"/>
    <w:rsid w:val="008B7D64"/>
    <w:rsid w:val="008C2268"/>
    <w:rsid w:val="008D045D"/>
    <w:rsid w:val="00952516"/>
    <w:rsid w:val="009560DD"/>
    <w:rsid w:val="009573FD"/>
    <w:rsid w:val="00962110"/>
    <w:rsid w:val="00965BBB"/>
    <w:rsid w:val="00992682"/>
    <w:rsid w:val="009C0C95"/>
    <w:rsid w:val="009C3917"/>
    <w:rsid w:val="009C7D91"/>
    <w:rsid w:val="009D0586"/>
    <w:rsid w:val="009D1F2F"/>
    <w:rsid w:val="009E55FB"/>
    <w:rsid w:val="009F37F3"/>
    <w:rsid w:val="00A0073E"/>
    <w:rsid w:val="00A13F5C"/>
    <w:rsid w:val="00A219FE"/>
    <w:rsid w:val="00A368E1"/>
    <w:rsid w:val="00A463A5"/>
    <w:rsid w:val="00A502B9"/>
    <w:rsid w:val="00A50F36"/>
    <w:rsid w:val="00A615B9"/>
    <w:rsid w:val="00A757AA"/>
    <w:rsid w:val="00AA0116"/>
    <w:rsid w:val="00AA06D5"/>
    <w:rsid w:val="00AB4ADD"/>
    <w:rsid w:val="00AB5CDB"/>
    <w:rsid w:val="00AC7405"/>
    <w:rsid w:val="00AD3137"/>
    <w:rsid w:val="00AF26FD"/>
    <w:rsid w:val="00AF52E5"/>
    <w:rsid w:val="00B2359A"/>
    <w:rsid w:val="00B25793"/>
    <w:rsid w:val="00B73A90"/>
    <w:rsid w:val="00B77D9C"/>
    <w:rsid w:val="00B80E6D"/>
    <w:rsid w:val="00B84BCF"/>
    <w:rsid w:val="00B86614"/>
    <w:rsid w:val="00B87F88"/>
    <w:rsid w:val="00BB128A"/>
    <w:rsid w:val="00BB2B04"/>
    <w:rsid w:val="00BC2600"/>
    <w:rsid w:val="00BD7F49"/>
    <w:rsid w:val="00BE4B0E"/>
    <w:rsid w:val="00C21A86"/>
    <w:rsid w:val="00C31925"/>
    <w:rsid w:val="00C36CBA"/>
    <w:rsid w:val="00C52C2D"/>
    <w:rsid w:val="00C742EF"/>
    <w:rsid w:val="00C75C8A"/>
    <w:rsid w:val="00C92BEC"/>
    <w:rsid w:val="00CA5235"/>
    <w:rsid w:val="00CD5108"/>
    <w:rsid w:val="00CF2596"/>
    <w:rsid w:val="00CF3875"/>
    <w:rsid w:val="00D031EB"/>
    <w:rsid w:val="00D0573D"/>
    <w:rsid w:val="00D06B8F"/>
    <w:rsid w:val="00D10D6A"/>
    <w:rsid w:val="00D22A2F"/>
    <w:rsid w:val="00D311E8"/>
    <w:rsid w:val="00D55325"/>
    <w:rsid w:val="00D77496"/>
    <w:rsid w:val="00D81530"/>
    <w:rsid w:val="00D8172A"/>
    <w:rsid w:val="00DA5D09"/>
    <w:rsid w:val="00DC0C71"/>
    <w:rsid w:val="00DE6526"/>
    <w:rsid w:val="00DF0BEA"/>
    <w:rsid w:val="00E1442C"/>
    <w:rsid w:val="00E303DE"/>
    <w:rsid w:val="00E30EB6"/>
    <w:rsid w:val="00E361C0"/>
    <w:rsid w:val="00E455D5"/>
    <w:rsid w:val="00E501CF"/>
    <w:rsid w:val="00E52201"/>
    <w:rsid w:val="00E5757E"/>
    <w:rsid w:val="00E62BA6"/>
    <w:rsid w:val="00E73979"/>
    <w:rsid w:val="00E866B9"/>
    <w:rsid w:val="00E91572"/>
    <w:rsid w:val="00E91B70"/>
    <w:rsid w:val="00EA4942"/>
    <w:rsid w:val="00EB1AFD"/>
    <w:rsid w:val="00EC3F6C"/>
    <w:rsid w:val="00EF4B52"/>
    <w:rsid w:val="00EF7EDD"/>
    <w:rsid w:val="00F0680B"/>
    <w:rsid w:val="00F207D1"/>
    <w:rsid w:val="00F24B32"/>
    <w:rsid w:val="00F83AC7"/>
    <w:rsid w:val="00FA11E1"/>
    <w:rsid w:val="00FA1ADA"/>
    <w:rsid w:val="00FA6FAC"/>
    <w:rsid w:val="00FC156E"/>
    <w:rsid w:val="00FD127B"/>
    <w:rsid w:val="00FD6D56"/>
    <w:rsid w:val="00FE6597"/>
    <w:rsid w:val="00FE6910"/>
    <w:rsid w:val="00FF19DE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29BB041"/>
  <w15:chartTrackingRefBased/>
  <w15:docId w15:val="{A87E124F-CDC2-44F0-93AC-7C56F08A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3D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EA4942"/>
    <w:pPr>
      <w:ind w:left="720"/>
    </w:pPr>
    <w:rPr>
      <w:rFonts w:ascii="Calibri" w:eastAsia="Times New Roman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EA494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544091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44091"/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1C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1C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Ludynia</dc:creator>
  <cp:keywords/>
  <dc:description/>
  <cp:lastModifiedBy>Amelia Ludynia</cp:lastModifiedBy>
  <cp:revision>3</cp:revision>
  <dcterms:created xsi:type="dcterms:W3CDTF">2026-06-03T10:48:00Z</dcterms:created>
  <dcterms:modified xsi:type="dcterms:W3CDTF">2026-06-03T10:51:00Z</dcterms:modified>
</cp:coreProperties>
</file>