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42" w:rsidRPr="000353C4" w:rsidRDefault="00EA4942" w:rsidP="00EA4942">
      <w:pPr>
        <w:jc w:val="right"/>
        <w:rPr>
          <w:rFonts w:ascii="Times New Roman" w:hAnsi="Times New Roman" w:cs="Times New Roman"/>
        </w:rPr>
      </w:pPr>
      <w:bookmarkStart w:id="0" w:name="OLE_LINK2"/>
      <w:r w:rsidRPr="000353C4">
        <w:rPr>
          <w:rFonts w:ascii="Times New Roman" w:hAnsi="Times New Roman" w:cs="Times New Roman"/>
        </w:rPr>
        <w:t xml:space="preserve">Załącznik nr </w:t>
      </w:r>
      <w:r w:rsidR="005423BD">
        <w:rPr>
          <w:rFonts w:ascii="Times New Roman" w:hAnsi="Times New Roman" w:cs="Times New Roman"/>
        </w:rPr>
        <w:t>2 część 19 do zapytania nr SGA.261.16.2026</w:t>
      </w:r>
    </w:p>
    <w:p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</w:t>
      </w:r>
      <w:r w:rsidR="005423BD">
        <w:rPr>
          <w:rFonts w:ascii="Times New Roman" w:hAnsi="Times New Roman" w:cs="Times New Roman"/>
          <w:b/>
        </w:rPr>
        <w:t>– część 19</w:t>
      </w:r>
    </w:p>
    <w:p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p w:rsidR="00EA4942" w:rsidRDefault="00EA4942" w:rsidP="005423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Pr="00662259" w:rsidRDefault="00BA746C" w:rsidP="00AB5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Pompy infuzyjne</w:t>
      </w:r>
      <w:r w:rsidR="00A87375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5</w:t>
      </w:r>
      <w:r w:rsidR="00A87375">
        <w:rPr>
          <w:rFonts w:ascii="Times New Roman" w:hAnsi="Times New Roman" w:cs="Times New Roman"/>
          <w:b/>
        </w:rPr>
        <w:t xml:space="preserve"> szt.</w:t>
      </w:r>
    </w:p>
    <w:p w:rsidR="00AB5CDB" w:rsidRPr="000353C4" w:rsidRDefault="00AB5CDB" w:rsidP="00AB5CD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6281"/>
        <w:gridCol w:w="1315"/>
        <w:gridCol w:w="1908"/>
      </w:tblGrid>
      <w:tr w:rsidR="005423BD" w:rsidRPr="000C51C6" w:rsidTr="005423BD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5423BD" w:rsidRPr="000C51C6" w:rsidRDefault="005423B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Lp.</w:t>
            </w:r>
          </w:p>
          <w:p w:rsidR="005423BD" w:rsidRPr="000C51C6" w:rsidRDefault="005423B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9" w:type="dxa"/>
            <w:shd w:val="clear" w:color="auto" w:fill="BFBFBF" w:themeFill="background1" w:themeFillShade="BF"/>
            <w:vAlign w:val="center"/>
          </w:tcPr>
          <w:p w:rsidR="005423BD" w:rsidRPr="000C51C6" w:rsidRDefault="005423B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5423BD" w:rsidRPr="000C51C6" w:rsidRDefault="005423B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2419" w:type="dxa"/>
            <w:shd w:val="clear" w:color="auto" w:fill="BFBFBF" w:themeFill="background1" w:themeFillShade="BF"/>
            <w:vAlign w:val="center"/>
          </w:tcPr>
          <w:p w:rsidR="005423BD" w:rsidRPr="000C51C6" w:rsidRDefault="005423B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5423BD" w:rsidRPr="000C51C6" w:rsidTr="005423B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23BD" w:rsidRPr="000C51C6" w:rsidRDefault="005423BD" w:rsidP="00576C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4" w:type="dxa"/>
            <w:gridSpan w:val="3"/>
            <w:shd w:val="clear" w:color="auto" w:fill="FFFFFF" w:themeFill="background1"/>
            <w:vAlign w:val="center"/>
          </w:tcPr>
          <w:p w:rsidR="005423BD" w:rsidRPr="000C51C6" w:rsidRDefault="005423B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5423BD" w:rsidRPr="005423BD" w:rsidTr="005423BD">
        <w:trPr>
          <w:cantSplit/>
          <w:trHeight w:val="28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</w:tcPr>
          <w:p w:rsidR="005423BD" w:rsidRPr="005423BD" w:rsidRDefault="005423BD" w:rsidP="0057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Producent.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57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Podać</w:t>
            </w:r>
          </w:p>
        </w:tc>
        <w:tc>
          <w:tcPr>
            <w:tcW w:w="2419" w:type="dxa"/>
            <w:shd w:val="clear" w:color="000000" w:fill="FFFFFF"/>
            <w:vAlign w:val="center"/>
          </w:tcPr>
          <w:p w:rsidR="005423BD" w:rsidRPr="005423BD" w:rsidRDefault="005423B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</w:tcPr>
          <w:p w:rsidR="005423BD" w:rsidRPr="005423BD" w:rsidRDefault="005423BD" w:rsidP="0057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Model/typ.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57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Podać</w:t>
            </w:r>
          </w:p>
        </w:tc>
        <w:tc>
          <w:tcPr>
            <w:tcW w:w="2419" w:type="dxa"/>
            <w:shd w:val="clear" w:color="000000" w:fill="FFFFFF"/>
            <w:vAlign w:val="center"/>
          </w:tcPr>
          <w:p w:rsidR="005423BD" w:rsidRPr="005423BD" w:rsidRDefault="005423B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Urządzenie oraz wszystkie elementy składowe -  fabrycznie nowe, rok produkcji 2026.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shd w:val="clear" w:color="000000" w:fill="FFFFFF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Pompa objętościowa sterowana elektronicznie przeznaczona do stosowania u dorosłych, dzieci i noworodków do tymczasowego lub ciągłego podawania roztworów pozajelitowych i dojelitowych za pośrednictwem standardowych medycznych dróg dostępu. Do tych dróg należą m.in.: droga dożylna, dotętnicza, podskórna, zewnątrzoponowa i dojelitowa.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Zasilanie 230V 50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Hz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bezpośrednio z sieci.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Klasa ochronności II lub równoważna.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 pompy gotowej do użycia.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TAK/</w:t>
            </w:r>
            <w:r w:rsidRPr="005423BD">
              <w:rPr>
                <w:rFonts w:ascii="Times New Roman" w:hAnsi="Times New Roman" w:cs="Times New Roman"/>
                <w:b/>
                <w:sz w:val="24"/>
                <w:szCs w:val="24"/>
              </w:rPr>
              <w:t>podać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Wymiary pompy (Szer. x Wys. x Gł.).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Podać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Dokładność podaży +/- 3%.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Menu pompy w języku polskim.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Instrukcja obsługi zaimplementowana w menu pompy, ułatwiająca obsługę urządzenia podczas zakładania linii jednorazowej.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Stopień ochrony IP 44 lub równoważny, chroniący przed bryzgami wody z dowolnego kierunku.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 /NIE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Kolorowy wyświetlacz min. 5", umożliwiający pełne dotykowe sterowanie i obsługę pompy. Wysoka rozdzielczość wyświetlanych informacji, min. 800x240 punktów.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Wbudowany uchwyt do przenoszenia pompy. Możliwość łączenia pomp w moduły i przenoszenia bez użycia stacji dokującej -  3 pompy na jednym uchwycie. Odłączalny chwyt do mocowania pompy do stojaków infuzyjnych, oraz szyn poziomych. Zakres regulacji min. 16-40mm. 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 /NIE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Linia infuzyjna mocowana od przodu, chroniona przed drzwiczki pompy; Mechanizm zabezpieczający  przed swobodnym  niekontrolowanym przepływem składający się z dwóch elementów – jeden w pompie jeden na drenie.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Dostępne linie infuzyjne do szerokiego spektrum terapii: podstawowe bezbarwne, chroniące przed światłem, do transfuzji, do terapii przeciwbólowych pracujące w systemie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NRFit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do antybiotykoterapii, wielodrożne do onkologii pracujące w systemie zamkniętym, oraz dojelitowe pracujące w systemie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ENFit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Zatrzaskowe mocowanie w stacji dokującej, bez konieczności przykręcania.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pomiędzy pompą a stacja dokującą odbywa się za pośrednictwem podczerwieni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Pompa wyposażona w moduł łączności bezprzewodowej WLAN w standardach 802.11a, 802.11b, 802.11g, 802.11n; umożliwiający podłączenie urządzenia do szpitalnego systemu informatycznego w standardzie HL7-IHE; Wspierane prędkości transferu WLAN 802.11a (OFDM): 6/9/12/18/24/36/48/54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Mbit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/s, 802.11b (DSSS, CCK): 1/2/5.5/11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Mbit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/s, 802.11g (OFDM): 6/9/12/18/24/36/48/54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Mbit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/s 802.11n (OFDM, HT20, MCS 0-15):Full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guard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interval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6.5/13/19.5/26/39/52/58.5/65/78/104/117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Mbit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/s,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Short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guard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interval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1.2/14.4/21.7/28.9/29.9/43.3/57.8/65/72.2/86.7/115.6/130/144.4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Mbit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/s; Standardy bezpieczeństwa: Wireless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Equivalent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Privacy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(WEP), Wi-Fi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Protected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Access (WPA), IEEE 802.11i (WPA2),FIPS 140-2 Level 1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zdalnej aktualizacji oprogramowania pompy, oraz biblioteki leków bez konieczności przerywania pracy pompy.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Zakres prędkości infuzji min. 0,1 do 1200 ml/h ; Zmiana prędkości podaży bez przerywania infuzji.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Wstępnie wybierana objętość w zakresie 0,10 - 9999 ml programowana co 1 ml.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Wstępnie wybierany czas w zakresie 00h01min - 99h59min.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Automatyczna kalkulacja prędkości podaży po wprowadzeniu objętości i czasu.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Możliwość programowania parametrów infuzji w mg,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mcg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IE,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mmol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lub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mEq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,z uwzględnieniem lub nie masy ciała w odniesieniu do czasu ( np. mg/kg/min; mg/kg/h; mg/kg/24h)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Pompa wyposażona w system redukcji błędów dawki.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 /NIE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System automatycznej redukcji bolusa po alarmie ciśnienia okluzji.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000000" w:fill="FFFFFF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Bolus: Prędkość bolusa możliwa do zaprogramowania w zakresie1-1200 ml/h. 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Tryby bolusa: Bolus na żądanie; Bolus programowany z automatyczną kalkulacją prędkości po wprowadzeniu objętości i czasu.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Możliwość podaży bolusa w jednostkach mg,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mcg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mmol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mEq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oraz jednostkach wagowych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Tryb stand-by w zakresie od 1 min do 24 godzin z programowaniem co 1 minutę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Regulacja intensywności podświetlenia na 9 poziomach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 /NIE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Biblioteka leków z możliwością wpisu min.1000 leków, z możliwością podzielenia na min. 30 kategorii i 15 profili pacjentów. Każdy lek może być powiązany z limitami miękkimi, z limitami twardymi, oraz kolorowymi etykietami - min. 30 kombinacji kolorystycznych. Nazwa leku stale widoczna na wyświetlaczu pompy, również po wystąpieniu dowolnego alarmu. Możliwość wprowadzenia do pompy biblioteki leków bezpośrednio z komputera, lub zdalnie poprzez sieć szpitalną z centralnego serwera.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Ciśnienie okluzji możliwe do ustawienia na min. 9 poziomach w zakresie od 50 do 825 mmHg; Wskaźnik ciśnienia okluzji stale widoczny na wyświetlaczu pompy.</w:t>
            </w:r>
          </w:p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  <w:r w:rsidRPr="005423BD">
              <w:rPr>
                <w:rFonts w:ascii="Times New Roman" w:eastAsia="Times New Roman" w:hAnsi="Times New Roman" w:cs="Times New Roman"/>
                <w:sz w:val="24"/>
                <w:szCs w:val="24"/>
              </w:rPr>
              <w:t>Zamawiający dopuszcza pompy, w których istnieje możliwość programowania progów ciśnienia okluzji przez użytkownika w zakresie 75-900 mmHg (12 poziomów).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000000" w:fill="FFFFFF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Wbudowany akumulator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litowo</w:t>
            </w:r>
            <w:proofErr w:type="spellEnd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jonowy. Zasilanie z wbudowanego akumulatora min. 6 godz. przy przepływie 100 ml/h. Czas ponownego ładowania maks. 5 godz. Na wyświetlaczu widoczna precyzyjna informacja o pozostałym czasie pracy akumulatora w godzinach i minutach. Automatyczne ładowanie akumulatora w pompie podłączonej do zasilania sieciowego.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 /NIE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Pobór mocy w normalnych warunkach pracy ≤ 6 W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Rozbudowany system alarmów wizualnych i dźwiękowych.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Czułość techniczna wykrywania pęcherzyków powietrza≥ 0.01 </w:t>
            </w:r>
            <w:proofErr w:type="spellStart"/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000000" w:fill="FFFFFF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Historia pracy dostępna z menu pompy, z możliwością zapisania do 1000 zdarzeń.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 /NIE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BA746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shd w:val="clear" w:color="000000" w:fill="FFFFFF"/>
            <w:vAlign w:val="center"/>
          </w:tcPr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wprowadzenia informacji o dacie następnego przeglądu technicznego i wyświetlania jej przy każdym uruchomieniu pompy.</w:t>
            </w:r>
          </w:p>
          <w:p w:rsidR="005423BD" w:rsidRPr="005423BD" w:rsidRDefault="005423BD" w:rsidP="00BA74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Zamawiający dopuszcza pompy, w których data kolejnego przeglądu może być widoczna po wejściu w menu.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  <w:vAlign w:val="center"/>
          </w:tcPr>
          <w:p w:rsidR="005423BD" w:rsidRPr="005423BD" w:rsidRDefault="005423BD" w:rsidP="00BA7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A87375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504" w:type="dxa"/>
            <w:gridSpan w:val="3"/>
            <w:vAlign w:val="center"/>
          </w:tcPr>
          <w:p w:rsidR="005423BD" w:rsidRPr="005423BD" w:rsidRDefault="005423BD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b/>
                <w:sz w:val="24"/>
                <w:szCs w:val="24"/>
              </w:rPr>
              <w:t>POZOSTAŁE WYMAGANIA</w:t>
            </w:r>
          </w:p>
        </w:tc>
      </w:tr>
      <w:tr w:rsidR="005423BD" w:rsidRPr="005423BD" w:rsidTr="005423B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</w:tcPr>
          <w:p w:rsidR="005423BD" w:rsidRPr="005423BD" w:rsidRDefault="005423BD" w:rsidP="00A873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Okres gwarancji – min. 24 miesiące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TAK/Podać</w:t>
            </w:r>
          </w:p>
        </w:tc>
        <w:tc>
          <w:tcPr>
            <w:tcW w:w="2419" w:type="dxa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</w:tcPr>
          <w:p w:rsidR="005423BD" w:rsidRPr="005423BD" w:rsidRDefault="005423BD" w:rsidP="00A873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Wliczone w cenę przeglądy okresowe w okresie gwarancji (o częstotliwości i zakresie zgodnym z wymogami producenta), co najmniej 1 przegląd w okresie gwarancji.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</w:tcPr>
          <w:p w:rsidR="005423BD" w:rsidRPr="005423BD" w:rsidRDefault="005423BD" w:rsidP="00A873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 xml:space="preserve">Informacje dotyczące wymaganych/zalecanych przeglądów przez producenta po okresie gwarancji (przy dostawie). Podać : </w:t>
            </w:r>
          </w:p>
          <w:p w:rsidR="005423BD" w:rsidRPr="005423BD" w:rsidRDefault="005423BD" w:rsidP="00A873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- częstotliwość przeglądów</w:t>
            </w:r>
          </w:p>
          <w:p w:rsidR="005423BD" w:rsidRPr="005423BD" w:rsidRDefault="005423BD" w:rsidP="00A873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- wykaz czynności wykonywanych przy przeglądzie (lista kontrolna)</w:t>
            </w:r>
          </w:p>
          <w:p w:rsidR="005423BD" w:rsidRPr="005423BD" w:rsidRDefault="005423BD" w:rsidP="00A873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- wykaz części podlegających okresowej wymianie z podaniem zalecanej częstotliwości ich wymiany.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Instrukcja obsługi w języku polskim (przy dostawie) – 1 szt. w wersji papierowej i w wersji elektronicznej.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Dokumentacja serwisowa i/lub oprogramowanie serwisowe na potrzeby Zamawiającego (dokumentacja zapewniająca co najmniej diagnostykę urządzenia, wykonywanie drobnych napraw, regulacji, etc.) (dotyczy myjni, przy dostawie)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vAlign w:val="center"/>
          </w:tcPr>
          <w:p w:rsidR="005423BD" w:rsidRPr="005423BD" w:rsidRDefault="005423BD" w:rsidP="00A87375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5423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Oznakowanie CE - deklaracja zgodności / certyfikat CE.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vAlign w:val="center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5423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Wliczona w cenę dostawa, montaż i uruchomienie, przeszkolenie personelu medycznego, technicznego w zakresie eksploatacji i obsługi udokumentowane imiennymi zaświadczeniami.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9" w:type="dxa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vAlign w:val="center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5423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Producent urządzenia/urządzeń posiada wdrożoną normę zarządzania środowiskowego PN-EN ISO 14001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419" w:type="dxa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vAlign w:val="center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5423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Przy produkcji urządzenia/urządzeń ograniczono użycie substancji niebezpiecznych, zgodnie z Dyrektywą UE RoHS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419" w:type="dxa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vAlign w:val="center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5423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Materiały użyte do budowy urządzenia/urządzeń nadają się do recyklingu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TAK/Podać</w:t>
            </w:r>
          </w:p>
        </w:tc>
        <w:tc>
          <w:tcPr>
            <w:tcW w:w="2419" w:type="dxa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vAlign w:val="center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5423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Części zamienne urządzenia/urządzeń nadają się do odzysku lub naprawy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TAK/Podać</w:t>
            </w:r>
          </w:p>
        </w:tc>
        <w:tc>
          <w:tcPr>
            <w:tcW w:w="2419" w:type="dxa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BD" w:rsidRPr="005423BD" w:rsidTr="005423B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23BD" w:rsidRPr="005423BD" w:rsidRDefault="005423BD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769" w:type="dxa"/>
            <w:vAlign w:val="center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5423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Szkolenie z obsługi i eksploatacji urządzenia/urządzeń obejmuje zasady postępowania minimalizujące zużycie energii elektrycznej, wody oraz generowanie odpadów, potwierdzone zaświadczeniem. Instrukcja zawierająca zasady postępowania minimalizujące zużycie energii elektrycznej, wody oraz generowanie odpadów.</w:t>
            </w:r>
          </w:p>
        </w:tc>
        <w:tc>
          <w:tcPr>
            <w:tcW w:w="1316" w:type="dxa"/>
            <w:vAlign w:val="center"/>
          </w:tcPr>
          <w:p w:rsidR="005423BD" w:rsidRPr="005423BD" w:rsidRDefault="005423BD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BD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419" w:type="dxa"/>
          </w:tcPr>
          <w:p w:rsidR="005423BD" w:rsidRPr="005423BD" w:rsidRDefault="005423BD" w:rsidP="00A87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CDB" w:rsidRPr="005423BD" w:rsidRDefault="00AB5CDB" w:rsidP="00AB5CDB">
      <w:pPr>
        <w:rPr>
          <w:rFonts w:ascii="Times New Roman" w:hAnsi="Times New Roman" w:cs="Times New Roman"/>
          <w:sz w:val="24"/>
          <w:szCs w:val="24"/>
        </w:rPr>
      </w:pPr>
    </w:p>
    <w:p w:rsidR="00AB5CDB" w:rsidRPr="005423BD" w:rsidRDefault="00AB5CDB" w:rsidP="00AB5CDB">
      <w:pPr>
        <w:rPr>
          <w:rFonts w:ascii="Times New Roman" w:hAnsi="Times New Roman" w:cs="Times New Roman"/>
          <w:sz w:val="24"/>
          <w:szCs w:val="24"/>
        </w:rPr>
      </w:pPr>
    </w:p>
    <w:p w:rsidR="00AB5CDB" w:rsidRPr="005423BD" w:rsidRDefault="00AB5CDB" w:rsidP="00AB5CDB">
      <w:pPr>
        <w:rPr>
          <w:rFonts w:ascii="Times New Roman" w:hAnsi="Times New Roman" w:cs="Times New Roman"/>
          <w:sz w:val="24"/>
          <w:szCs w:val="24"/>
        </w:rPr>
      </w:pPr>
    </w:p>
    <w:p w:rsidR="00AB5CDB" w:rsidRPr="005423BD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sectPr w:rsidR="00AB5CDB" w:rsidRPr="005423BD" w:rsidSect="00302F52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82" w:rsidRDefault="00992682" w:rsidP="007061C2">
      <w:pPr>
        <w:spacing w:after="0" w:line="240" w:lineRule="auto"/>
      </w:pPr>
      <w:r>
        <w:separator/>
      </w:r>
    </w:p>
  </w:endnote>
  <w:end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82" w:rsidRDefault="00992682" w:rsidP="007061C2">
      <w:pPr>
        <w:spacing w:after="0" w:line="240" w:lineRule="auto"/>
      </w:pPr>
      <w:r>
        <w:separator/>
      </w:r>
    </w:p>
  </w:footnote>
  <w:foot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82" w:rsidRDefault="00992682">
    <w:pPr>
      <w:pStyle w:val="Nagwek"/>
    </w:pPr>
    <w:r>
      <w:rPr>
        <w:noProof/>
      </w:rPr>
      <w:drawing>
        <wp:inline distT="0" distB="0" distL="0" distR="0">
          <wp:extent cx="575945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3E1E7F4C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9550CA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17264"/>
    <w:multiLevelType w:val="hybridMultilevel"/>
    <w:tmpl w:val="87D466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6591"/>
    <w:multiLevelType w:val="hybridMultilevel"/>
    <w:tmpl w:val="563A8098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348355E"/>
    <w:multiLevelType w:val="hybridMultilevel"/>
    <w:tmpl w:val="D194DBA6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85C6D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C1D7C"/>
    <w:multiLevelType w:val="hybridMultilevel"/>
    <w:tmpl w:val="A3B6FA74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8A1A46"/>
    <w:multiLevelType w:val="hybridMultilevel"/>
    <w:tmpl w:val="306AAFF8"/>
    <w:lvl w:ilvl="0" w:tplc="4BD6BC42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3239C"/>
    <w:multiLevelType w:val="hybridMultilevel"/>
    <w:tmpl w:val="6C906E70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06E4C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D19E1"/>
    <w:multiLevelType w:val="hybridMultilevel"/>
    <w:tmpl w:val="253A8EFC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BBA1A80"/>
    <w:multiLevelType w:val="hybridMultilevel"/>
    <w:tmpl w:val="B0147402"/>
    <w:lvl w:ilvl="0" w:tplc="4BD6BC42">
      <w:start w:val="1"/>
      <w:numFmt w:val="decimal"/>
      <w:lvlText w:val="%1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EDC47FD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962F0"/>
    <w:multiLevelType w:val="hybridMultilevel"/>
    <w:tmpl w:val="DEC6EB86"/>
    <w:lvl w:ilvl="0" w:tplc="773483A6">
      <w:start w:val="7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F0E2B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0"/>
  </w:num>
  <w:num w:numId="6">
    <w:abstractNumId w:val="12"/>
  </w:num>
  <w:num w:numId="7">
    <w:abstractNumId w:val="18"/>
  </w:num>
  <w:num w:numId="8">
    <w:abstractNumId w:val="7"/>
  </w:num>
  <w:num w:numId="9">
    <w:abstractNumId w:val="21"/>
  </w:num>
  <w:num w:numId="10">
    <w:abstractNumId w:val="17"/>
  </w:num>
  <w:num w:numId="11">
    <w:abstractNumId w:val="11"/>
  </w:num>
  <w:num w:numId="12">
    <w:abstractNumId w:val="16"/>
  </w:num>
  <w:num w:numId="13">
    <w:abstractNumId w:val="4"/>
  </w:num>
  <w:num w:numId="14">
    <w:abstractNumId w:val="15"/>
  </w:num>
  <w:num w:numId="15">
    <w:abstractNumId w:val="10"/>
  </w:num>
  <w:num w:numId="16">
    <w:abstractNumId w:val="14"/>
  </w:num>
  <w:num w:numId="17">
    <w:abstractNumId w:val="13"/>
  </w:num>
  <w:num w:numId="18">
    <w:abstractNumId w:val="19"/>
  </w:num>
  <w:num w:numId="19">
    <w:abstractNumId w:val="9"/>
  </w:num>
  <w:num w:numId="20">
    <w:abstractNumId w:val="1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00928"/>
    <w:rsid w:val="000070B1"/>
    <w:rsid w:val="000314A6"/>
    <w:rsid w:val="0004523C"/>
    <w:rsid w:val="000456C2"/>
    <w:rsid w:val="000525F7"/>
    <w:rsid w:val="00054F5B"/>
    <w:rsid w:val="00056B77"/>
    <w:rsid w:val="00066263"/>
    <w:rsid w:val="00082DA0"/>
    <w:rsid w:val="000C19EF"/>
    <w:rsid w:val="000C51C6"/>
    <w:rsid w:val="000D0447"/>
    <w:rsid w:val="000D3698"/>
    <w:rsid w:val="000F1250"/>
    <w:rsid w:val="00102A70"/>
    <w:rsid w:val="00106783"/>
    <w:rsid w:val="00110846"/>
    <w:rsid w:val="00113408"/>
    <w:rsid w:val="00136883"/>
    <w:rsid w:val="00137A8D"/>
    <w:rsid w:val="00161DAA"/>
    <w:rsid w:val="001647FD"/>
    <w:rsid w:val="001753BD"/>
    <w:rsid w:val="00181BE3"/>
    <w:rsid w:val="00190FCC"/>
    <w:rsid w:val="00193FEB"/>
    <w:rsid w:val="001B06A8"/>
    <w:rsid w:val="001B7FE7"/>
    <w:rsid w:val="001C2FF0"/>
    <w:rsid w:val="001D4A7F"/>
    <w:rsid w:val="001F1B6D"/>
    <w:rsid w:val="001F27F0"/>
    <w:rsid w:val="002105BD"/>
    <w:rsid w:val="00222344"/>
    <w:rsid w:val="00262341"/>
    <w:rsid w:val="00271D7E"/>
    <w:rsid w:val="002753AF"/>
    <w:rsid w:val="002A0D51"/>
    <w:rsid w:val="002B362E"/>
    <w:rsid w:val="002C2BC6"/>
    <w:rsid w:val="002F02BA"/>
    <w:rsid w:val="002F2BEF"/>
    <w:rsid w:val="00302F52"/>
    <w:rsid w:val="00323012"/>
    <w:rsid w:val="003317FC"/>
    <w:rsid w:val="00337B9D"/>
    <w:rsid w:val="00347D5C"/>
    <w:rsid w:val="00362C42"/>
    <w:rsid w:val="003632F4"/>
    <w:rsid w:val="0039195C"/>
    <w:rsid w:val="003A73A7"/>
    <w:rsid w:val="003A7E7B"/>
    <w:rsid w:val="003B3539"/>
    <w:rsid w:val="003D5445"/>
    <w:rsid w:val="003E3325"/>
    <w:rsid w:val="003F7C8D"/>
    <w:rsid w:val="004077E1"/>
    <w:rsid w:val="00420017"/>
    <w:rsid w:val="004223AD"/>
    <w:rsid w:val="004328E2"/>
    <w:rsid w:val="0043308E"/>
    <w:rsid w:val="0043408D"/>
    <w:rsid w:val="004378BD"/>
    <w:rsid w:val="00452091"/>
    <w:rsid w:val="0045719A"/>
    <w:rsid w:val="00480A87"/>
    <w:rsid w:val="00481CDB"/>
    <w:rsid w:val="004977D2"/>
    <w:rsid w:val="004D0186"/>
    <w:rsid w:val="004D2963"/>
    <w:rsid w:val="004D3FEC"/>
    <w:rsid w:val="004F22ED"/>
    <w:rsid w:val="004F2C3A"/>
    <w:rsid w:val="00503B60"/>
    <w:rsid w:val="0051020C"/>
    <w:rsid w:val="00522CD2"/>
    <w:rsid w:val="00531B59"/>
    <w:rsid w:val="005423BD"/>
    <w:rsid w:val="00544091"/>
    <w:rsid w:val="00552C09"/>
    <w:rsid w:val="005911A7"/>
    <w:rsid w:val="005913C2"/>
    <w:rsid w:val="00593B13"/>
    <w:rsid w:val="00594D17"/>
    <w:rsid w:val="005B16B2"/>
    <w:rsid w:val="005D08C8"/>
    <w:rsid w:val="005D49A9"/>
    <w:rsid w:val="005E549A"/>
    <w:rsid w:val="00610532"/>
    <w:rsid w:val="0061375F"/>
    <w:rsid w:val="006276FC"/>
    <w:rsid w:val="00631FAC"/>
    <w:rsid w:val="00632F08"/>
    <w:rsid w:val="006416ED"/>
    <w:rsid w:val="00641ADD"/>
    <w:rsid w:val="00647EAF"/>
    <w:rsid w:val="006649AD"/>
    <w:rsid w:val="00664E8E"/>
    <w:rsid w:val="0068317D"/>
    <w:rsid w:val="006906B4"/>
    <w:rsid w:val="00697B69"/>
    <w:rsid w:val="006A0C35"/>
    <w:rsid w:val="006A3224"/>
    <w:rsid w:val="006A3EA6"/>
    <w:rsid w:val="006C0B9E"/>
    <w:rsid w:val="006C35ED"/>
    <w:rsid w:val="006D3AEE"/>
    <w:rsid w:val="006E31CE"/>
    <w:rsid w:val="006E3823"/>
    <w:rsid w:val="00702F4F"/>
    <w:rsid w:val="007061C2"/>
    <w:rsid w:val="00713611"/>
    <w:rsid w:val="00713645"/>
    <w:rsid w:val="00714E54"/>
    <w:rsid w:val="0073084F"/>
    <w:rsid w:val="00731610"/>
    <w:rsid w:val="00735DB0"/>
    <w:rsid w:val="0075280B"/>
    <w:rsid w:val="00757A56"/>
    <w:rsid w:val="00775BA2"/>
    <w:rsid w:val="00786EDE"/>
    <w:rsid w:val="007A7730"/>
    <w:rsid w:val="007C5AD8"/>
    <w:rsid w:val="007D1035"/>
    <w:rsid w:val="007F40B3"/>
    <w:rsid w:val="007F53F9"/>
    <w:rsid w:val="007F6F50"/>
    <w:rsid w:val="00802FC5"/>
    <w:rsid w:val="00804DA5"/>
    <w:rsid w:val="00805951"/>
    <w:rsid w:val="00812FCC"/>
    <w:rsid w:val="00822ABA"/>
    <w:rsid w:val="00846B02"/>
    <w:rsid w:val="00876954"/>
    <w:rsid w:val="00886C89"/>
    <w:rsid w:val="008934F2"/>
    <w:rsid w:val="008B3045"/>
    <w:rsid w:val="008B7D64"/>
    <w:rsid w:val="008C2268"/>
    <w:rsid w:val="008C7629"/>
    <w:rsid w:val="008D045D"/>
    <w:rsid w:val="00916569"/>
    <w:rsid w:val="00952516"/>
    <w:rsid w:val="0095376C"/>
    <w:rsid w:val="009560DD"/>
    <w:rsid w:val="009573FD"/>
    <w:rsid w:val="00962110"/>
    <w:rsid w:val="00965BBB"/>
    <w:rsid w:val="00992682"/>
    <w:rsid w:val="009C0C95"/>
    <w:rsid w:val="009C3917"/>
    <w:rsid w:val="009C7D91"/>
    <w:rsid w:val="009D0586"/>
    <w:rsid w:val="009D1F2F"/>
    <w:rsid w:val="009E55FB"/>
    <w:rsid w:val="009F37F3"/>
    <w:rsid w:val="009F42BA"/>
    <w:rsid w:val="00A0073E"/>
    <w:rsid w:val="00A13F5C"/>
    <w:rsid w:val="00A219FE"/>
    <w:rsid w:val="00A368E1"/>
    <w:rsid w:val="00A463A5"/>
    <w:rsid w:val="00A502B9"/>
    <w:rsid w:val="00A50F36"/>
    <w:rsid w:val="00A615B9"/>
    <w:rsid w:val="00A757AA"/>
    <w:rsid w:val="00A87375"/>
    <w:rsid w:val="00AA0116"/>
    <w:rsid w:val="00AA06D5"/>
    <w:rsid w:val="00AB4ADD"/>
    <w:rsid w:val="00AB5CDB"/>
    <w:rsid w:val="00AC7405"/>
    <w:rsid w:val="00AD3137"/>
    <w:rsid w:val="00AF26FD"/>
    <w:rsid w:val="00AF52E5"/>
    <w:rsid w:val="00B2359A"/>
    <w:rsid w:val="00B25793"/>
    <w:rsid w:val="00B73A90"/>
    <w:rsid w:val="00B77D9C"/>
    <w:rsid w:val="00B80E6D"/>
    <w:rsid w:val="00B84BCF"/>
    <w:rsid w:val="00B86614"/>
    <w:rsid w:val="00B87F88"/>
    <w:rsid w:val="00BA746C"/>
    <w:rsid w:val="00BB128A"/>
    <w:rsid w:val="00BB2B04"/>
    <w:rsid w:val="00BC2600"/>
    <w:rsid w:val="00BD7F49"/>
    <w:rsid w:val="00BE4B0E"/>
    <w:rsid w:val="00BE6D70"/>
    <w:rsid w:val="00C21A86"/>
    <w:rsid w:val="00C31925"/>
    <w:rsid w:val="00C36CBA"/>
    <w:rsid w:val="00C473EA"/>
    <w:rsid w:val="00C52C2D"/>
    <w:rsid w:val="00C742EF"/>
    <w:rsid w:val="00C75C8A"/>
    <w:rsid w:val="00C92BEC"/>
    <w:rsid w:val="00CA5235"/>
    <w:rsid w:val="00CD5108"/>
    <w:rsid w:val="00CF2596"/>
    <w:rsid w:val="00CF3875"/>
    <w:rsid w:val="00D031EB"/>
    <w:rsid w:val="00D0573D"/>
    <w:rsid w:val="00D06B8F"/>
    <w:rsid w:val="00D10D6A"/>
    <w:rsid w:val="00D22A2F"/>
    <w:rsid w:val="00D30CDD"/>
    <w:rsid w:val="00D311E8"/>
    <w:rsid w:val="00D55325"/>
    <w:rsid w:val="00D77496"/>
    <w:rsid w:val="00D81530"/>
    <w:rsid w:val="00D8172A"/>
    <w:rsid w:val="00DA5D09"/>
    <w:rsid w:val="00DB1221"/>
    <w:rsid w:val="00DC0C71"/>
    <w:rsid w:val="00DE6526"/>
    <w:rsid w:val="00DF0BEA"/>
    <w:rsid w:val="00E1442C"/>
    <w:rsid w:val="00E303DE"/>
    <w:rsid w:val="00E30EB6"/>
    <w:rsid w:val="00E361C0"/>
    <w:rsid w:val="00E455D5"/>
    <w:rsid w:val="00E501CF"/>
    <w:rsid w:val="00E52201"/>
    <w:rsid w:val="00E5757E"/>
    <w:rsid w:val="00E62BA6"/>
    <w:rsid w:val="00E73979"/>
    <w:rsid w:val="00E866B9"/>
    <w:rsid w:val="00E91572"/>
    <w:rsid w:val="00E91B70"/>
    <w:rsid w:val="00EA4942"/>
    <w:rsid w:val="00EB1AFD"/>
    <w:rsid w:val="00EC3F6C"/>
    <w:rsid w:val="00EF4B52"/>
    <w:rsid w:val="00EF7EDD"/>
    <w:rsid w:val="00F0680B"/>
    <w:rsid w:val="00F207D1"/>
    <w:rsid w:val="00F24B32"/>
    <w:rsid w:val="00F571E1"/>
    <w:rsid w:val="00F83AC7"/>
    <w:rsid w:val="00FA11E1"/>
    <w:rsid w:val="00FA1ADA"/>
    <w:rsid w:val="00FA6FAC"/>
    <w:rsid w:val="00FC156E"/>
    <w:rsid w:val="00FD127B"/>
    <w:rsid w:val="00FD6D56"/>
    <w:rsid w:val="00FE6597"/>
    <w:rsid w:val="00FE6910"/>
    <w:rsid w:val="00FF19D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D2CA4DE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4409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44091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1176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Amelia Ludynia</cp:lastModifiedBy>
  <cp:revision>3</cp:revision>
  <dcterms:created xsi:type="dcterms:W3CDTF">2026-06-03T11:42:00Z</dcterms:created>
  <dcterms:modified xsi:type="dcterms:W3CDTF">2026-06-03T11:45:00Z</dcterms:modified>
</cp:coreProperties>
</file>