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475058">
        <w:rPr>
          <w:rFonts w:ascii="Times New Roman" w:hAnsi="Times New Roman" w:cs="Times New Roman"/>
        </w:rPr>
        <w:t>2 część 13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475058">
        <w:rPr>
          <w:rFonts w:ascii="Times New Roman" w:hAnsi="Times New Roman" w:cs="Times New Roman"/>
          <w:b/>
        </w:rPr>
        <w:t>– Część 13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0070B1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Lampa do naświetlań</w:t>
      </w:r>
      <w:r w:rsidR="00F571E1">
        <w:rPr>
          <w:rFonts w:ascii="Times New Roman" w:hAnsi="Times New Roman" w:cs="Times New Roman"/>
          <w:b/>
        </w:rPr>
        <w:t xml:space="preserve"> – 2 szt.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368"/>
      </w:tblGrid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368" w:type="dxa"/>
            <w:shd w:val="clear" w:color="auto" w:fill="BFBFBF" w:themeFill="background1" w:themeFillShade="B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5" w:type="dxa"/>
            <w:gridSpan w:val="3"/>
            <w:shd w:val="clear" w:color="auto" w:fill="FFFFFF" w:themeFill="background1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475058" w:rsidRPr="000C51C6" w:rsidTr="00475058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070B1" w:rsidRDefault="00475058" w:rsidP="00007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Lampa przeznaczona do wykonywania zabiegów nagrzewania tkanek skóry za pomocą</w:t>
            </w:r>
          </w:p>
          <w:p w:rsidR="00475058" w:rsidRPr="000C51C6" w:rsidRDefault="00475058" w:rsidP="00007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energii cieplnej promieniowania podczerwonego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070B1" w:rsidRDefault="00475058" w:rsidP="000070B1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Możliwość stosowania czerwonego lub niebieskiego filtru barwnego który zmienia</w:t>
            </w:r>
          </w:p>
          <w:p w:rsidR="00475058" w:rsidRPr="000C51C6" w:rsidRDefault="00475058" w:rsidP="000070B1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charakterystykę promieniowania</w:t>
            </w:r>
            <w:r>
              <w:rPr>
                <w:rFonts w:ascii="Times New Roman" w:hAnsi="Times New Roman" w:cs="Times New Roman"/>
              </w:rPr>
              <w:t xml:space="preserve"> (filtry w zestawie)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0070B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070B1" w:rsidRDefault="00475058" w:rsidP="00007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Konstrukcja lampy umożliwia łatwe dostosowanie wysokości i odległości od źródła</w:t>
            </w:r>
          </w:p>
          <w:p w:rsidR="00475058" w:rsidRPr="000C51C6" w:rsidRDefault="00475058" w:rsidP="00007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promieniowania do pacjenta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007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007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Elektroniczny panel sterowania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Regulacja mocy promiennika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Regulacja długości trwania zabiegu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0B1">
              <w:rPr>
                <w:rFonts w:ascii="Times New Roman" w:hAnsi="Times New Roman" w:cs="Times New Roman"/>
              </w:rPr>
              <w:t>Programowanie sekwencji zabiegowej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61DAA">
              <w:rPr>
                <w:rFonts w:ascii="Times New Roman" w:hAnsi="Times New Roman" w:cs="Times New Roman"/>
              </w:rPr>
              <w:t>tabilna metalowa konstrukcja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2753AF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Stabilna, mobilna podstawa wyposażona w kółka z hamulcami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Okulary ochronne dla operatora oraz pacjenta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645" w:type="dxa"/>
            <w:gridSpan w:val="3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475058" w:rsidRPr="000C51C6" w:rsidRDefault="00475058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475058" w:rsidRPr="000C51C6" w:rsidRDefault="00475058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475058" w:rsidRPr="000C51C6" w:rsidRDefault="00475058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475058" w:rsidRPr="000C51C6" w:rsidRDefault="00475058" w:rsidP="00BE6D70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5058" w:rsidRPr="000C51C6" w:rsidTr="0047505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5058" w:rsidRPr="000C51C6" w:rsidRDefault="00475058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475058" w:rsidRPr="000C51C6" w:rsidRDefault="00475058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368" w:type="dxa"/>
          </w:tcPr>
          <w:p w:rsidR="00475058" w:rsidRPr="000C51C6" w:rsidRDefault="00475058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070B1"/>
    <w:rsid w:val="000314A6"/>
    <w:rsid w:val="0004523C"/>
    <w:rsid w:val="000456C2"/>
    <w:rsid w:val="000525F7"/>
    <w:rsid w:val="00054F5B"/>
    <w:rsid w:val="00056B77"/>
    <w:rsid w:val="00066263"/>
    <w:rsid w:val="00082DA0"/>
    <w:rsid w:val="000C19EF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1DAA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753AF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75058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52C09"/>
    <w:rsid w:val="005911A7"/>
    <w:rsid w:val="005913C2"/>
    <w:rsid w:val="00593B13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224"/>
    <w:rsid w:val="006A3EA6"/>
    <w:rsid w:val="006C0B9E"/>
    <w:rsid w:val="006C35ED"/>
    <w:rsid w:val="006D2ED9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C7629"/>
    <w:rsid w:val="008D045D"/>
    <w:rsid w:val="00916569"/>
    <w:rsid w:val="00952516"/>
    <w:rsid w:val="0095376C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BE6D70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0CDD"/>
    <w:rsid w:val="00D311E8"/>
    <w:rsid w:val="00D55325"/>
    <w:rsid w:val="00D77496"/>
    <w:rsid w:val="00D81530"/>
    <w:rsid w:val="00D8172A"/>
    <w:rsid w:val="00DA5D09"/>
    <w:rsid w:val="00DB1221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571E1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C613AB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2026-06-03T11:21:00Z</dcterms:created>
  <dcterms:modified xsi:type="dcterms:W3CDTF">2026-06-03T11:22:00Z</dcterms:modified>
</cp:coreProperties>
</file>