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7394" w14:textId="77777777" w:rsidR="002D2ECD" w:rsidRDefault="002D2ECD" w:rsidP="00550562">
      <w:pPr>
        <w:jc w:val="center"/>
        <w:rPr>
          <w:b/>
          <w:bCs/>
        </w:rPr>
      </w:pPr>
    </w:p>
    <w:p w14:paraId="4AEA50F5" w14:textId="720F29E0" w:rsidR="00B02156" w:rsidRPr="00550562" w:rsidRDefault="00B02156" w:rsidP="00550562">
      <w:pPr>
        <w:jc w:val="center"/>
      </w:pPr>
      <w:r w:rsidRPr="00550562">
        <w:rPr>
          <w:b/>
          <w:bCs/>
        </w:rPr>
        <w:t xml:space="preserve">OPIS PRZEDMIOTU </w:t>
      </w:r>
      <w:r w:rsidR="006641DF" w:rsidRPr="00550562">
        <w:rPr>
          <w:b/>
          <w:bCs/>
        </w:rPr>
        <w:t>SZACOWANIA</w:t>
      </w:r>
    </w:p>
    <w:p w14:paraId="01445720" w14:textId="68BC6CA7" w:rsidR="007B5F94" w:rsidRPr="00550562" w:rsidRDefault="007B5F94" w:rsidP="007B5F94">
      <w:r w:rsidRPr="00550562">
        <w:t>Przedmiotem zamówienia jest wykonanie usługi polegającej na rozszerzeniu posiadanej licencji Oracle Database Standard Edition do Oracle Database Enterprise Edition lub rozwiązania równoważnego, wraz z konfiguracją, zabezpieczeniem oraz objęciem systemu wsparciem technicznym.</w:t>
      </w:r>
    </w:p>
    <w:p w14:paraId="35CF25CA" w14:textId="77777777" w:rsidR="007B5F94" w:rsidRPr="00550562" w:rsidRDefault="007B5F94" w:rsidP="007B5F94">
      <w:r w:rsidRPr="00550562">
        <w:t>1. Stan obecny</w:t>
      </w:r>
    </w:p>
    <w:p w14:paraId="66E994F1" w14:textId="77777777" w:rsidR="007B5F94" w:rsidRPr="00550562" w:rsidRDefault="007B5F94" w:rsidP="007B5F94">
      <w:r w:rsidRPr="00550562">
        <w:t>Zamawiający posiada:</w:t>
      </w:r>
    </w:p>
    <w:p w14:paraId="2A03CFB2" w14:textId="77777777" w:rsidR="007B5F94" w:rsidRPr="00550562" w:rsidRDefault="007B5F94" w:rsidP="007B5F94">
      <w:pPr>
        <w:numPr>
          <w:ilvl w:val="0"/>
          <w:numId w:val="10"/>
        </w:numPr>
      </w:pPr>
      <w:r w:rsidRPr="00550562">
        <w:t>jedną licencję Oracle Database Standard Edition,</w:t>
      </w:r>
    </w:p>
    <w:p w14:paraId="6F43B9F3" w14:textId="77777777" w:rsidR="007B5F94" w:rsidRPr="00550562" w:rsidRDefault="007B5F94" w:rsidP="007B5F94">
      <w:pPr>
        <w:numPr>
          <w:ilvl w:val="0"/>
          <w:numId w:val="10"/>
        </w:numPr>
      </w:pPr>
      <w:r w:rsidRPr="00550562">
        <w:t>bazę danych w wersji Oracle Database 19c,</w:t>
      </w:r>
    </w:p>
    <w:p w14:paraId="14419AC3" w14:textId="423537D2" w:rsidR="007B5F94" w:rsidRPr="00550562" w:rsidRDefault="007B5F94" w:rsidP="007B5F94">
      <w:pPr>
        <w:numPr>
          <w:ilvl w:val="0"/>
          <w:numId w:val="10"/>
        </w:numPr>
      </w:pPr>
      <w:r w:rsidRPr="00550562">
        <w:t>system operacyjny Oracle Linux Server,</w:t>
      </w:r>
    </w:p>
    <w:p w14:paraId="33DAEB81" w14:textId="77777777" w:rsidR="007B5F94" w:rsidRPr="00550562" w:rsidRDefault="007B5F94" w:rsidP="007B5F94">
      <w:pPr>
        <w:numPr>
          <w:ilvl w:val="0"/>
          <w:numId w:val="10"/>
        </w:numPr>
      </w:pPr>
      <w:r w:rsidRPr="00550562">
        <w:t>środowisko sprzętowe wyposażone w 1 procesor fizyczny / 8 rdzeni,</w:t>
      </w:r>
    </w:p>
    <w:p w14:paraId="70898455" w14:textId="5210D767" w:rsidR="007B5F94" w:rsidRPr="00550562" w:rsidRDefault="007B5F94" w:rsidP="007B5F94">
      <w:pPr>
        <w:numPr>
          <w:ilvl w:val="0"/>
          <w:numId w:val="10"/>
        </w:numPr>
      </w:pPr>
      <w:r w:rsidRPr="00550562">
        <w:t>całość infrastruktury bazodanowej oraz przetwarzania danych realizowana jest wyłącznie lokalnie</w:t>
      </w:r>
      <w:r w:rsidR="00276D58" w:rsidRPr="00550562">
        <w:t xml:space="preserve"> </w:t>
      </w:r>
      <w:r w:rsidRPr="00550562">
        <w:t>bez wykorzystania usług chmurowych.</w:t>
      </w:r>
    </w:p>
    <w:p w14:paraId="66A6B43A" w14:textId="77777777" w:rsidR="007B5F94" w:rsidRPr="00550562" w:rsidRDefault="007B5F94" w:rsidP="007B5F94">
      <w:r w:rsidRPr="00550562">
        <w:t>2. Zakres zamówienia</w:t>
      </w:r>
    </w:p>
    <w:p w14:paraId="245CFEF2" w14:textId="77777777" w:rsidR="007B5F94" w:rsidRPr="00550562" w:rsidRDefault="007B5F94" w:rsidP="007B5F94">
      <w:r w:rsidRPr="00550562">
        <w:t>Zakres zamówienia obejmuje:</w:t>
      </w:r>
    </w:p>
    <w:p w14:paraId="1EAD56A5" w14:textId="4AD0C4EB" w:rsidR="007B5F94" w:rsidRPr="00550562" w:rsidRDefault="007B5F94" w:rsidP="007B5F94">
      <w:pPr>
        <w:numPr>
          <w:ilvl w:val="0"/>
          <w:numId w:val="11"/>
        </w:numPr>
      </w:pPr>
      <w:r w:rsidRPr="00550562">
        <w:t>Podniesienie posiadanej licencji do Oracle Database Enterprise Edition lub rozwiązania równoważnego, zgodnego z aktualnie użytkowaną wersją bazy danych (Oracle Database Standard 19c).</w:t>
      </w:r>
    </w:p>
    <w:p w14:paraId="7AE1AB6A" w14:textId="77777777" w:rsidR="007B5F94" w:rsidRPr="00550562" w:rsidRDefault="007B5F94" w:rsidP="007B5F94">
      <w:pPr>
        <w:numPr>
          <w:ilvl w:val="0"/>
          <w:numId w:val="11"/>
        </w:numPr>
      </w:pPr>
      <w:r w:rsidRPr="00550562">
        <w:t>Weryfikację zgodności licencyjnej z posiadaną konfiguracją sprzętową (1 CPU / 8 rdzeni).</w:t>
      </w:r>
    </w:p>
    <w:p w14:paraId="3E79F98B" w14:textId="2FF9366E" w:rsidR="007B5F94" w:rsidRPr="00550562" w:rsidRDefault="007B5F94" w:rsidP="007B5F94">
      <w:pPr>
        <w:numPr>
          <w:ilvl w:val="0"/>
          <w:numId w:val="11"/>
        </w:numPr>
      </w:pPr>
      <w:r w:rsidRPr="00550562">
        <w:t xml:space="preserve">Wykonanie </w:t>
      </w:r>
      <w:proofErr w:type="spellStart"/>
      <w:r w:rsidRPr="00550562">
        <w:t>upgrade’u</w:t>
      </w:r>
      <w:proofErr w:type="spellEnd"/>
      <w:r w:rsidRPr="00550562">
        <w:t xml:space="preserve"> </w:t>
      </w:r>
      <w:r w:rsidR="00795584">
        <w:t>DB</w:t>
      </w:r>
      <w:r w:rsidRPr="00550562">
        <w:t xml:space="preserve"> bez utraty danych i z zachowaniem ciągłości działania systemu.</w:t>
      </w:r>
    </w:p>
    <w:p w14:paraId="68672309" w14:textId="77777777" w:rsidR="007B5F94" w:rsidRPr="00550562" w:rsidRDefault="007B5F94" w:rsidP="007B5F94">
      <w:pPr>
        <w:numPr>
          <w:ilvl w:val="0"/>
          <w:numId w:val="11"/>
        </w:numPr>
      </w:pPr>
      <w:r w:rsidRPr="00550562">
        <w:t xml:space="preserve">Konfigurację bazy danych po </w:t>
      </w:r>
      <w:proofErr w:type="spellStart"/>
      <w:r w:rsidRPr="00550562">
        <w:t>upgrade’zie</w:t>
      </w:r>
      <w:proofErr w:type="spellEnd"/>
      <w:r w:rsidRPr="00550562">
        <w:t>, w tym dostosowanie parametrów do środowiska produkcyjnego Zamawiającego.</w:t>
      </w:r>
    </w:p>
    <w:p w14:paraId="57B7EC6E" w14:textId="77777777" w:rsidR="007B5F94" w:rsidRPr="00550562" w:rsidRDefault="007B5F94" w:rsidP="007B5F94">
      <w:pPr>
        <w:numPr>
          <w:ilvl w:val="0"/>
          <w:numId w:val="11"/>
        </w:numPr>
      </w:pPr>
      <w:r w:rsidRPr="00550562">
        <w:t>Wdrożenie mechanizmów bezpieczeństwa przewidzianych dla wersji Enterprise.</w:t>
      </w:r>
    </w:p>
    <w:p w14:paraId="45F621D6" w14:textId="49BB90D2" w:rsidR="007B5F94" w:rsidRPr="00550562" w:rsidRDefault="007B5F94" w:rsidP="007B5F94">
      <w:pPr>
        <w:numPr>
          <w:ilvl w:val="0"/>
          <w:numId w:val="11"/>
        </w:numPr>
      </w:pPr>
      <w:r w:rsidRPr="00550562">
        <w:t xml:space="preserve">Objęcie środowiska pełnym wsparciem technicznym </w:t>
      </w:r>
    </w:p>
    <w:p w14:paraId="0E7CDB79" w14:textId="77777777" w:rsidR="007B5F94" w:rsidRPr="00550562" w:rsidRDefault="007B5F94" w:rsidP="007B5F94">
      <w:r w:rsidRPr="00550562">
        <w:t>3. Szyfrowanie i bezpieczeństwo danych</w:t>
      </w:r>
    </w:p>
    <w:p w14:paraId="66FC646E" w14:textId="77777777" w:rsidR="007B5F94" w:rsidRPr="00550562" w:rsidRDefault="007B5F94" w:rsidP="007B5F94">
      <w:r w:rsidRPr="00550562">
        <w:t xml:space="preserve">Po wykonaniu </w:t>
      </w:r>
      <w:proofErr w:type="spellStart"/>
      <w:r w:rsidRPr="00550562">
        <w:t>upgrade’u</w:t>
      </w:r>
      <w:proofErr w:type="spellEnd"/>
      <w:r w:rsidRPr="00550562">
        <w:t xml:space="preserve"> do Oracle Database Enterprise Edition Wykonawca zobowiązany jest do:</w:t>
      </w:r>
    </w:p>
    <w:p w14:paraId="7BA5C7FE" w14:textId="6B24733E" w:rsidR="007B5F94" w:rsidRPr="00550562" w:rsidRDefault="007B5F94" w:rsidP="007B5F94">
      <w:pPr>
        <w:numPr>
          <w:ilvl w:val="0"/>
          <w:numId w:val="12"/>
        </w:numPr>
      </w:pPr>
      <w:r w:rsidRPr="00550562">
        <w:lastRenderedPageBreak/>
        <w:t>wdrożenia szyfrowania danych w bazie danych z wykorzystaniem natywnych mechanizmów bezpieczeństwa oferowanych przez Oracle Database Enterprise Edition,</w:t>
      </w:r>
    </w:p>
    <w:p w14:paraId="21F65B07" w14:textId="77777777" w:rsidR="007B5F94" w:rsidRPr="00550562" w:rsidRDefault="007B5F94" w:rsidP="007B5F94">
      <w:pPr>
        <w:numPr>
          <w:ilvl w:val="0"/>
          <w:numId w:val="12"/>
        </w:numPr>
      </w:pPr>
      <w:r w:rsidRPr="00550562">
        <w:t>konfiguracji szyfrowania w sposób zapewniający ochronę danych przed nieautoryzowanym dostępem,</w:t>
      </w:r>
    </w:p>
    <w:p w14:paraId="37CEC461" w14:textId="77777777" w:rsidR="007B5F94" w:rsidRPr="00550562" w:rsidRDefault="007B5F94" w:rsidP="007B5F94">
      <w:pPr>
        <w:numPr>
          <w:ilvl w:val="0"/>
          <w:numId w:val="12"/>
        </w:numPr>
      </w:pPr>
      <w:r w:rsidRPr="00550562">
        <w:t>wykonania i przekazania Zamawiającemu dokumentacji potwierdzającej zastosowanie mechanizmów szyfrowania</w:t>
      </w:r>
    </w:p>
    <w:p w14:paraId="030EE9D9" w14:textId="7C7A92C6" w:rsidR="007B5F94" w:rsidRPr="00550562" w:rsidRDefault="007B5F94" w:rsidP="007B5F94">
      <w:pPr>
        <w:numPr>
          <w:ilvl w:val="0"/>
          <w:numId w:val="12"/>
        </w:numPr>
      </w:pPr>
      <w:r w:rsidRPr="00550562">
        <w:t>przekazanie pełnej dokumentacji powdrożeniowej obejmującej w pełni proces instalacji nowej bazy, sposobu szyfrowania, deszyfrowania</w:t>
      </w:r>
    </w:p>
    <w:p w14:paraId="6E2DD630" w14:textId="77777777" w:rsidR="007B5F94" w:rsidRPr="00550562" w:rsidRDefault="007B5F94" w:rsidP="007B5F94">
      <w:r w:rsidRPr="00550562">
        <w:t>4. Zgodność z RODO</w:t>
      </w:r>
    </w:p>
    <w:p w14:paraId="6F7EDDA8" w14:textId="77777777" w:rsidR="007B5F94" w:rsidRPr="00550562" w:rsidRDefault="007B5F94" w:rsidP="007B5F94">
      <w:r w:rsidRPr="00550562">
        <w:t>Wdrożone rozwiązanie musi zapewniać przetwarzanie danych osobowych zgodnie z:</w:t>
      </w:r>
    </w:p>
    <w:p w14:paraId="710A6E4A" w14:textId="77777777" w:rsidR="007B5F94" w:rsidRPr="00550562" w:rsidRDefault="007B5F94" w:rsidP="007B5F94">
      <w:pPr>
        <w:numPr>
          <w:ilvl w:val="0"/>
          <w:numId w:val="13"/>
        </w:numPr>
      </w:pPr>
      <w:r w:rsidRPr="00550562">
        <w:t>Rozporządzeniem Parlamentu Europejskiego i Rady (UE) 2016/679 (RODO),</w:t>
      </w:r>
    </w:p>
    <w:p w14:paraId="3835FB41" w14:textId="77777777" w:rsidR="007B5F94" w:rsidRPr="00550562" w:rsidRDefault="007B5F94" w:rsidP="007B5F94">
      <w:pPr>
        <w:numPr>
          <w:ilvl w:val="0"/>
          <w:numId w:val="13"/>
        </w:numPr>
      </w:pPr>
      <w:r w:rsidRPr="00550562">
        <w:t>obowiązującymi krajowymi przepisami w zakresie ochrony danych osobowych.</w:t>
      </w:r>
    </w:p>
    <w:p w14:paraId="09F4B586" w14:textId="77777777" w:rsidR="007B5F94" w:rsidRPr="00550562" w:rsidRDefault="007B5F94" w:rsidP="007B5F94">
      <w:r w:rsidRPr="00550562">
        <w:t>W szczególności system musi umożliwiać:</w:t>
      </w:r>
    </w:p>
    <w:p w14:paraId="0BE47F0B" w14:textId="77777777" w:rsidR="007B5F94" w:rsidRPr="00550562" w:rsidRDefault="007B5F94" w:rsidP="007B5F94">
      <w:pPr>
        <w:numPr>
          <w:ilvl w:val="0"/>
          <w:numId w:val="14"/>
        </w:numPr>
      </w:pPr>
      <w:r w:rsidRPr="00550562">
        <w:t>zabezpieczenie danych osobowych przed dostępem osób nieuprawnionych,</w:t>
      </w:r>
    </w:p>
    <w:p w14:paraId="57EA86A9" w14:textId="77777777" w:rsidR="007B5F94" w:rsidRPr="00550562" w:rsidRDefault="007B5F94" w:rsidP="007B5F94">
      <w:pPr>
        <w:numPr>
          <w:ilvl w:val="0"/>
          <w:numId w:val="14"/>
        </w:numPr>
      </w:pPr>
      <w:r w:rsidRPr="00550562">
        <w:t>ochronę integralności i poufności danych,</w:t>
      </w:r>
    </w:p>
    <w:p w14:paraId="5B3CEE0A" w14:textId="77777777" w:rsidR="007B5F94" w:rsidRPr="00550562" w:rsidRDefault="007B5F94" w:rsidP="007B5F94">
      <w:pPr>
        <w:numPr>
          <w:ilvl w:val="0"/>
          <w:numId w:val="14"/>
        </w:numPr>
      </w:pPr>
      <w:r w:rsidRPr="00550562">
        <w:t>spełnienie wymagań w zakresie bezpieczeństwa przetwarzania danych.</w:t>
      </w:r>
    </w:p>
    <w:p w14:paraId="0B7B286E" w14:textId="703CCE95" w:rsidR="007B5F94" w:rsidRPr="00550562" w:rsidRDefault="007B5F94" w:rsidP="00ED5CA2">
      <w:r w:rsidRPr="00550562">
        <w:t xml:space="preserve">5. Wsparcie techniczne </w:t>
      </w:r>
    </w:p>
    <w:p w14:paraId="0ECAB9C3" w14:textId="77777777" w:rsidR="007B5F94" w:rsidRPr="00550562" w:rsidRDefault="007B5F94" w:rsidP="007B5F94">
      <w:r w:rsidRPr="00550562">
        <w:t>Wsparcie obejmuje w szczególności:</w:t>
      </w:r>
    </w:p>
    <w:p w14:paraId="1245315A" w14:textId="77777777" w:rsidR="007B5F94" w:rsidRPr="00550562" w:rsidRDefault="007B5F94" w:rsidP="007B5F94">
      <w:pPr>
        <w:numPr>
          <w:ilvl w:val="0"/>
          <w:numId w:val="19"/>
        </w:numPr>
      </w:pPr>
      <w:r w:rsidRPr="00550562">
        <w:t>diagnostykę problemów,</w:t>
      </w:r>
    </w:p>
    <w:p w14:paraId="0383166D" w14:textId="77777777" w:rsidR="007B5F94" w:rsidRPr="00550562" w:rsidRDefault="007B5F94" w:rsidP="007B5F94">
      <w:pPr>
        <w:numPr>
          <w:ilvl w:val="0"/>
          <w:numId w:val="19"/>
        </w:numPr>
      </w:pPr>
      <w:r w:rsidRPr="00550562">
        <w:t>usuwanie awarii,</w:t>
      </w:r>
    </w:p>
    <w:p w14:paraId="57000713" w14:textId="77777777" w:rsidR="007B5F94" w:rsidRPr="00550562" w:rsidRDefault="007B5F94" w:rsidP="007B5F94">
      <w:pPr>
        <w:numPr>
          <w:ilvl w:val="0"/>
          <w:numId w:val="19"/>
        </w:numPr>
      </w:pPr>
      <w:r w:rsidRPr="00550562">
        <w:t>konsultacje techniczne,</w:t>
      </w:r>
    </w:p>
    <w:p w14:paraId="371C3593" w14:textId="77777777" w:rsidR="007B5F94" w:rsidRPr="00550562" w:rsidRDefault="007B5F94" w:rsidP="007B5F94">
      <w:pPr>
        <w:numPr>
          <w:ilvl w:val="0"/>
          <w:numId w:val="19"/>
        </w:numPr>
      </w:pPr>
      <w:r w:rsidRPr="00550562">
        <w:t>rekomendacje konfiguracyjne i eksploatacyjne.</w:t>
      </w:r>
    </w:p>
    <w:p w14:paraId="275A8571" w14:textId="77777777" w:rsidR="007B5F94" w:rsidRPr="00550562" w:rsidRDefault="007B5F94" w:rsidP="007B5F94">
      <w:r w:rsidRPr="00550562">
        <w:t>6. Wymagania końcowe</w:t>
      </w:r>
    </w:p>
    <w:p w14:paraId="56BDFACB" w14:textId="3F9320EA" w:rsidR="007B5F94" w:rsidRPr="00550562" w:rsidRDefault="007B5F94" w:rsidP="007B5F94">
      <w:pPr>
        <w:numPr>
          <w:ilvl w:val="0"/>
          <w:numId w:val="17"/>
        </w:numPr>
      </w:pPr>
      <w:r w:rsidRPr="00550562">
        <w:t>Wszystkie prace realizowane są w środowisku Zamawiającego.</w:t>
      </w:r>
    </w:p>
    <w:p w14:paraId="514B272B" w14:textId="77777777" w:rsidR="007B5F94" w:rsidRPr="00550562" w:rsidRDefault="007B5F94" w:rsidP="007B5F94">
      <w:pPr>
        <w:numPr>
          <w:ilvl w:val="0"/>
          <w:numId w:val="17"/>
        </w:numPr>
      </w:pPr>
      <w:r w:rsidRPr="00550562">
        <w:t>Zamówienie nie obejmuje ani nie dopuszcza wykorzystania usług chmurowych.</w:t>
      </w:r>
    </w:p>
    <w:p w14:paraId="4B2A8C44" w14:textId="77777777" w:rsidR="007B5F94" w:rsidRPr="00550562" w:rsidRDefault="007B5F94" w:rsidP="007B5F94">
      <w:pPr>
        <w:numPr>
          <w:ilvl w:val="0"/>
          <w:numId w:val="17"/>
        </w:numPr>
      </w:pPr>
      <w:r w:rsidRPr="00550562">
        <w:t>Wykonawca odpowiada za poprawność licencyjną, bezpieczeństwo danych oraz zgodność wdrożenia z obowiązującymi przepisami.</w:t>
      </w:r>
    </w:p>
    <w:p w14:paraId="4DB22BB8" w14:textId="77777777" w:rsidR="007B5F94" w:rsidRPr="00550562" w:rsidRDefault="007B5F94"/>
    <w:sectPr w:rsidR="007B5F94" w:rsidRPr="005505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FC97" w14:textId="77777777" w:rsidR="007636E2" w:rsidRDefault="007636E2" w:rsidP="002D2ECD">
      <w:pPr>
        <w:spacing w:after="0" w:line="240" w:lineRule="auto"/>
      </w:pPr>
      <w:r>
        <w:separator/>
      </w:r>
    </w:p>
  </w:endnote>
  <w:endnote w:type="continuationSeparator" w:id="0">
    <w:p w14:paraId="1E9BE24F" w14:textId="77777777" w:rsidR="007636E2" w:rsidRDefault="007636E2" w:rsidP="002D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99A2" w14:textId="77777777" w:rsidR="007636E2" w:rsidRDefault="007636E2" w:rsidP="002D2ECD">
      <w:pPr>
        <w:spacing w:after="0" w:line="240" w:lineRule="auto"/>
      </w:pPr>
      <w:r>
        <w:separator/>
      </w:r>
    </w:p>
  </w:footnote>
  <w:footnote w:type="continuationSeparator" w:id="0">
    <w:p w14:paraId="747FCE41" w14:textId="77777777" w:rsidR="007636E2" w:rsidRDefault="007636E2" w:rsidP="002D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A2E2" w14:textId="7015142F" w:rsidR="002D2ECD" w:rsidRDefault="002D2ECD">
    <w:pPr>
      <w:pStyle w:val="Nagwek"/>
    </w:pPr>
    <w:r>
      <w:rPr>
        <w:noProof/>
      </w:rPr>
      <w:drawing>
        <wp:inline distT="0" distB="0" distL="0" distR="0" wp14:anchorId="73B43C2B" wp14:editId="6B623783">
          <wp:extent cx="5760720" cy="572135"/>
          <wp:effectExtent l="0" t="0" r="0" b="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59"/>
    <w:multiLevelType w:val="multilevel"/>
    <w:tmpl w:val="80DC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1F78"/>
    <w:multiLevelType w:val="multilevel"/>
    <w:tmpl w:val="E5C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777A"/>
    <w:multiLevelType w:val="multilevel"/>
    <w:tmpl w:val="854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32669"/>
    <w:multiLevelType w:val="multilevel"/>
    <w:tmpl w:val="99F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435AD"/>
    <w:multiLevelType w:val="multilevel"/>
    <w:tmpl w:val="F0A6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B79DF"/>
    <w:multiLevelType w:val="multilevel"/>
    <w:tmpl w:val="717C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92980"/>
    <w:multiLevelType w:val="multilevel"/>
    <w:tmpl w:val="AEAE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607C1"/>
    <w:multiLevelType w:val="hybridMultilevel"/>
    <w:tmpl w:val="6E80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41685"/>
    <w:multiLevelType w:val="multilevel"/>
    <w:tmpl w:val="3C98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65A89"/>
    <w:multiLevelType w:val="multilevel"/>
    <w:tmpl w:val="0FA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34A1C"/>
    <w:multiLevelType w:val="multilevel"/>
    <w:tmpl w:val="CE1C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F40A5"/>
    <w:multiLevelType w:val="multilevel"/>
    <w:tmpl w:val="F0A6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D9057A"/>
    <w:multiLevelType w:val="multilevel"/>
    <w:tmpl w:val="6A4C4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29B0D30"/>
    <w:multiLevelType w:val="multilevel"/>
    <w:tmpl w:val="407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33857"/>
    <w:multiLevelType w:val="multilevel"/>
    <w:tmpl w:val="305E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3D53E5"/>
    <w:multiLevelType w:val="multilevel"/>
    <w:tmpl w:val="7608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C1B88"/>
    <w:multiLevelType w:val="multilevel"/>
    <w:tmpl w:val="BCC2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B37F8"/>
    <w:multiLevelType w:val="multilevel"/>
    <w:tmpl w:val="ED1A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035321">
    <w:abstractNumId w:val="4"/>
  </w:num>
  <w:num w:numId="2" w16cid:durableId="978456674">
    <w:abstractNumId w:val="4"/>
    <w:lvlOverride w:ilvl="1">
      <w:lvl w:ilvl="1">
        <w:numFmt w:val="decimal"/>
        <w:lvlText w:val="%2."/>
        <w:lvlJc w:val="left"/>
      </w:lvl>
    </w:lvlOverride>
  </w:num>
  <w:num w:numId="3" w16cid:durableId="833225641">
    <w:abstractNumId w:val="6"/>
  </w:num>
  <w:num w:numId="4" w16cid:durableId="1663657423">
    <w:abstractNumId w:val="2"/>
  </w:num>
  <w:num w:numId="5" w16cid:durableId="1684739937">
    <w:abstractNumId w:val="15"/>
  </w:num>
  <w:num w:numId="6" w16cid:durableId="1595242287">
    <w:abstractNumId w:val="5"/>
  </w:num>
  <w:num w:numId="7" w16cid:durableId="314339491">
    <w:abstractNumId w:val="11"/>
  </w:num>
  <w:num w:numId="8" w16cid:durableId="760419101">
    <w:abstractNumId w:val="12"/>
  </w:num>
  <w:num w:numId="9" w16cid:durableId="634530028">
    <w:abstractNumId w:val="7"/>
  </w:num>
  <w:num w:numId="10" w16cid:durableId="1953855895">
    <w:abstractNumId w:val="8"/>
  </w:num>
  <w:num w:numId="11" w16cid:durableId="582958287">
    <w:abstractNumId w:val="14"/>
  </w:num>
  <w:num w:numId="12" w16cid:durableId="1590121006">
    <w:abstractNumId w:val="3"/>
  </w:num>
  <w:num w:numId="13" w16cid:durableId="85007644">
    <w:abstractNumId w:val="1"/>
  </w:num>
  <w:num w:numId="14" w16cid:durableId="417409896">
    <w:abstractNumId w:val="17"/>
  </w:num>
  <w:num w:numId="15" w16cid:durableId="1607885999">
    <w:abstractNumId w:val="16"/>
  </w:num>
  <w:num w:numId="16" w16cid:durableId="2058158942">
    <w:abstractNumId w:val="13"/>
  </w:num>
  <w:num w:numId="17" w16cid:durableId="502746219">
    <w:abstractNumId w:val="10"/>
  </w:num>
  <w:num w:numId="18" w16cid:durableId="2146657208">
    <w:abstractNumId w:val="0"/>
  </w:num>
  <w:num w:numId="19" w16cid:durableId="107763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56"/>
    <w:rsid w:val="001F0480"/>
    <w:rsid w:val="00276D58"/>
    <w:rsid w:val="002D2ECD"/>
    <w:rsid w:val="00355A7A"/>
    <w:rsid w:val="003D143B"/>
    <w:rsid w:val="00467722"/>
    <w:rsid w:val="00550562"/>
    <w:rsid w:val="006641DF"/>
    <w:rsid w:val="007636E2"/>
    <w:rsid w:val="00795584"/>
    <w:rsid w:val="007B5F94"/>
    <w:rsid w:val="008239FE"/>
    <w:rsid w:val="00AE2C7C"/>
    <w:rsid w:val="00B02156"/>
    <w:rsid w:val="00B30306"/>
    <w:rsid w:val="00B3479B"/>
    <w:rsid w:val="00BE6154"/>
    <w:rsid w:val="00CA4D26"/>
    <w:rsid w:val="00DF7D94"/>
    <w:rsid w:val="00ED5CA2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B48"/>
  <w15:chartTrackingRefBased/>
  <w15:docId w15:val="{6D853F9E-7307-45D5-822E-C9520D3A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1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1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1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1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1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ECD"/>
  </w:style>
  <w:style w:type="paragraph" w:styleId="Stopka">
    <w:name w:val="footer"/>
    <w:basedOn w:val="Normalny"/>
    <w:link w:val="StopkaZnak"/>
    <w:uiPriority w:val="99"/>
    <w:unhideWhenUsed/>
    <w:rsid w:val="002D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8</cp:revision>
  <dcterms:created xsi:type="dcterms:W3CDTF">2026-02-09T10:37:00Z</dcterms:created>
  <dcterms:modified xsi:type="dcterms:W3CDTF">2026-02-13T11:44:00Z</dcterms:modified>
</cp:coreProperties>
</file>