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6BE1" w14:textId="77777777" w:rsidR="00947CD3" w:rsidRDefault="00947CD3" w:rsidP="00947CD3">
      <w:pPr>
        <w:jc w:val="center"/>
        <w:rPr>
          <w:b/>
        </w:rPr>
      </w:pPr>
      <w:r w:rsidRPr="00590285">
        <w:rPr>
          <w:b/>
        </w:rPr>
        <w:t xml:space="preserve">OPIS PRZEDMIOTU </w:t>
      </w:r>
      <w:r>
        <w:rPr>
          <w:b/>
        </w:rPr>
        <w:t>SZACOWANIA</w:t>
      </w:r>
    </w:p>
    <w:p w14:paraId="08AF8658" w14:textId="77777777" w:rsidR="00947CD3" w:rsidRPr="00590285" w:rsidRDefault="00947CD3" w:rsidP="00947CD3">
      <w:pPr>
        <w:jc w:val="center"/>
        <w:rPr>
          <w:b/>
        </w:rPr>
      </w:pPr>
    </w:p>
    <w:p w14:paraId="259608A8" w14:textId="4DF165E7" w:rsidR="009C7130" w:rsidRDefault="009C7130" w:rsidP="00947CD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47CD3">
        <w:rPr>
          <w:rFonts w:asciiTheme="minorHAnsi" w:hAnsiTheme="minorHAnsi" w:cstheme="minorHAnsi"/>
          <w:color w:val="auto"/>
          <w:sz w:val="22"/>
          <w:szCs w:val="22"/>
        </w:rPr>
        <w:t>Rozszerzenie współpracy z Systemem Informacji Medycznej (Platforma P1) w zakresie posiadanego przez Zamawiającego systemu do patomorfologii (</w:t>
      </w:r>
      <w:proofErr w:type="spellStart"/>
      <w:r w:rsidRPr="00947CD3">
        <w:rPr>
          <w:rFonts w:asciiTheme="minorHAnsi" w:hAnsiTheme="minorHAnsi" w:cstheme="minorHAnsi"/>
          <w:color w:val="auto"/>
          <w:sz w:val="22"/>
          <w:szCs w:val="22"/>
        </w:rPr>
        <w:t>PatARCH</w:t>
      </w:r>
      <w:proofErr w:type="spellEnd"/>
      <w:r w:rsidRPr="00947CD3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14:paraId="4A56E13A" w14:textId="77777777" w:rsidR="00947CD3" w:rsidRPr="00947CD3" w:rsidRDefault="00947CD3" w:rsidP="00947CD3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DEADFA" w14:textId="77777777" w:rsidR="009C7130" w:rsidRPr="00947CD3" w:rsidRDefault="009C7130" w:rsidP="009C7130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47CD3">
        <w:rPr>
          <w:rFonts w:asciiTheme="minorHAnsi" w:hAnsiTheme="minorHAnsi" w:cstheme="minorHAnsi"/>
          <w:color w:val="auto"/>
          <w:sz w:val="22"/>
          <w:szCs w:val="22"/>
        </w:rPr>
        <w:t>Realizacja obowiązku zgodnie z Ustawą o Krajowej Sieci Onkologicznej z dnia 9 marca 2023 r. w zakresie integracji z Centralną Bazą Histopatologiczną (CBH).</w:t>
      </w:r>
    </w:p>
    <w:p w14:paraId="07D6DD31" w14:textId="2A30B6B9" w:rsidR="009C7130" w:rsidRPr="00947CD3" w:rsidRDefault="009C7130" w:rsidP="009C7130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47CD3">
        <w:rPr>
          <w:rFonts w:asciiTheme="minorHAnsi" w:hAnsiTheme="minorHAnsi" w:cstheme="minorHAnsi"/>
          <w:color w:val="auto"/>
          <w:sz w:val="22"/>
          <w:szCs w:val="22"/>
        </w:rPr>
        <w:t>Integracja może być wykonana poprzez posiadany przez Zamawiającego EDM systemu HIS (Asseco AMDX) lub poprzez dostarczenie dedykowanego rozwiązania współpracującego z systemem PatARCH.</w:t>
      </w:r>
    </w:p>
    <w:p w14:paraId="58F05134" w14:textId="77777777" w:rsidR="009C7130" w:rsidRPr="00947CD3" w:rsidRDefault="009C7130" w:rsidP="009C7130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47CD3">
        <w:rPr>
          <w:rFonts w:asciiTheme="minorHAnsi" w:hAnsiTheme="minorHAnsi" w:cstheme="minorHAnsi"/>
          <w:color w:val="auto"/>
          <w:sz w:val="22"/>
          <w:szCs w:val="22"/>
        </w:rPr>
        <w:t>Zaoferowane rozwiązanie EDM (Repozytorium dokumentacji medycznej) musi:</w:t>
      </w:r>
    </w:p>
    <w:p w14:paraId="16681EC5" w14:textId="77777777" w:rsidR="009C7130" w:rsidRPr="00947CD3" w:rsidRDefault="009C7130" w:rsidP="009C7130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47CD3">
        <w:rPr>
          <w:rFonts w:asciiTheme="minorHAnsi" w:hAnsiTheme="minorHAnsi" w:cstheme="minorHAnsi"/>
          <w:color w:val="auto"/>
          <w:sz w:val="22"/>
          <w:szCs w:val="22"/>
        </w:rPr>
        <w:t>Umożliwiać wyszukiwanie na Platformie P1, pobieranie i wizualizację transformaty dokumentów HL7 CDA pobranych z innych systemów EDM kontekstowo w systemie PatARCH, w kontekście aktualnie diagnozowanego pacjenta;</w:t>
      </w:r>
    </w:p>
    <w:p w14:paraId="33712E1B" w14:textId="77777777" w:rsidR="009C7130" w:rsidRPr="00947CD3" w:rsidRDefault="009C7130" w:rsidP="009C7130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47CD3">
        <w:rPr>
          <w:rFonts w:asciiTheme="minorHAnsi" w:hAnsiTheme="minorHAnsi" w:cstheme="minorHAnsi"/>
          <w:color w:val="auto"/>
          <w:sz w:val="22"/>
          <w:szCs w:val="22"/>
        </w:rPr>
        <w:t xml:space="preserve">Umożliwić współpracę z Platformą P1 w zakresie indeksacji wyników HL7-CDA i ich wymiany na rzecz uprawnionych podmiotów. </w:t>
      </w:r>
    </w:p>
    <w:p w14:paraId="5EA462ED" w14:textId="77777777" w:rsidR="009C7130" w:rsidRPr="00947CD3" w:rsidRDefault="009C7130" w:rsidP="009C7130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47CD3">
        <w:rPr>
          <w:rFonts w:asciiTheme="minorHAnsi" w:hAnsiTheme="minorHAnsi" w:cstheme="minorHAnsi"/>
          <w:color w:val="auto"/>
          <w:sz w:val="22"/>
          <w:szCs w:val="22"/>
        </w:rPr>
        <w:t>Zapewnić rejestrację Zdarzeń Medycznych na Platformie P1 i wywiązanie się z obowiązków w zakresie podwykonawstwa.</w:t>
      </w:r>
    </w:p>
    <w:p w14:paraId="330F2F89" w14:textId="6FD889B4" w:rsidR="009C7130" w:rsidRPr="00947CD3" w:rsidRDefault="009C7130" w:rsidP="009C7130">
      <w:pPr>
        <w:pStyle w:val="Default"/>
        <w:numPr>
          <w:ilvl w:val="1"/>
          <w:numId w:val="1"/>
        </w:numPr>
        <w:jc w:val="both"/>
        <w:rPr>
          <w:rStyle w:val="Uwydat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  <w:r w:rsidRPr="00947CD3">
        <w:rPr>
          <w:rStyle w:val="Uwydatnienie"/>
          <w:rFonts w:asciiTheme="minorHAnsi" w:eastAsia="Times New Roman" w:hAnsiTheme="minorHAnsi" w:cstheme="minorHAnsi"/>
          <w:i w:val="0"/>
          <w:iCs w:val="0"/>
          <w:sz w:val="22"/>
          <w:szCs w:val="22"/>
        </w:rPr>
        <w:t>Ponadto rozwiązanie ma zapewnić:</w:t>
      </w:r>
    </w:p>
    <w:p w14:paraId="689F6792" w14:textId="77777777" w:rsidR="009C7130" w:rsidRPr="00947CD3" w:rsidRDefault="009C7130" w:rsidP="009C7130">
      <w:pPr>
        <w:pStyle w:val="Akapitzlist"/>
        <w:numPr>
          <w:ilvl w:val="2"/>
          <w:numId w:val="1"/>
        </w:numPr>
        <w:jc w:val="both"/>
        <w:rPr>
          <w:rStyle w:val="Uwydatnienie"/>
          <w:rFonts w:eastAsia="Times New Roman" w:cstheme="minorHAnsi"/>
          <w:i w:val="0"/>
          <w:iCs w:val="0"/>
          <w:color w:val="000000"/>
        </w:rPr>
      </w:pPr>
      <w:r w:rsidRPr="00947CD3">
        <w:rPr>
          <w:rStyle w:val="Uwydatnienie"/>
          <w:rFonts w:eastAsia="Times New Roman" w:cstheme="minorHAnsi"/>
          <w:i w:val="0"/>
          <w:iCs w:val="0"/>
          <w:color w:val="000000"/>
        </w:rPr>
        <w:t>Pełną zgodność z aktualnymi wymogami prawnymi.</w:t>
      </w:r>
    </w:p>
    <w:p w14:paraId="46552CD9" w14:textId="77777777" w:rsidR="009C7130" w:rsidRPr="00947CD3" w:rsidRDefault="009C7130" w:rsidP="009C7130">
      <w:pPr>
        <w:pStyle w:val="Akapitzlist"/>
        <w:numPr>
          <w:ilvl w:val="2"/>
          <w:numId w:val="1"/>
        </w:numPr>
        <w:jc w:val="both"/>
        <w:rPr>
          <w:rStyle w:val="Uwydatnienie"/>
          <w:rFonts w:eastAsia="Times New Roman" w:cstheme="minorHAnsi"/>
          <w:i w:val="0"/>
          <w:iCs w:val="0"/>
          <w:color w:val="000000"/>
        </w:rPr>
      </w:pPr>
      <w:r w:rsidRPr="00947CD3">
        <w:rPr>
          <w:rStyle w:val="Uwydatnienie"/>
          <w:rFonts w:eastAsia="Times New Roman" w:cstheme="minorHAnsi"/>
          <w:i w:val="0"/>
          <w:iCs w:val="0"/>
          <w:color w:val="000000"/>
        </w:rPr>
        <w:t>Pacjentom dostęp do swoich wyników z poziomu IKP (Internetowego Konta Pacjenta).</w:t>
      </w:r>
    </w:p>
    <w:p w14:paraId="4CA64E62" w14:textId="77777777" w:rsidR="009C7130" w:rsidRPr="00947CD3" w:rsidRDefault="009C7130" w:rsidP="009C7130">
      <w:pPr>
        <w:pStyle w:val="Akapitzlist"/>
        <w:numPr>
          <w:ilvl w:val="2"/>
          <w:numId w:val="1"/>
        </w:numPr>
        <w:jc w:val="both"/>
        <w:rPr>
          <w:rStyle w:val="Uwydatnienie"/>
          <w:rFonts w:eastAsia="Times New Roman" w:cstheme="minorHAnsi"/>
          <w:i w:val="0"/>
          <w:iCs w:val="0"/>
          <w:color w:val="000000"/>
        </w:rPr>
      </w:pPr>
      <w:r w:rsidRPr="00947CD3">
        <w:rPr>
          <w:rStyle w:val="Uwydatnienie"/>
          <w:rFonts w:eastAsia="Times New Roman" w:cstheme="minorHAnsi"/>
          <w:i w:val="0"/>
          <w:iCs w:val="0"/>
          <w:color w:val="000000"/>
        </w:rPr>
        <w:t>Integrację z CBH - Centralną Bazą Histopatologiczną (wymóg wprowadzony w art. 52 ustawy o Krajowej Sieci Onkologicznej dla badań histopatologicznych).</w:t>
      </w:r>
    </w:p>
    <w:p w14:paraId="2319DF5E" w14:textId="77777777" w:rsidR="009C7130" w:rsidRPr="00947CD3" w:rsidRDefault="009C7130" w:rsidP="009C7130">
      <w:pPr>
        <w:pStyle w:val="Akapitzlist"/>
        <w:numPr>
          <w:ilvl w:val="2"/>
          <w:numId w:val="1"/>
        </w:numPr>
        <w:jc w:val="both"/>
        <w:rPr>
          <w:rStyle w:val="Uwydatnienie"/>
          <w:rFonts w:eastAsia="Times New Roman" w:cstheme="minorHAnsi"/>
          <w:i w:val="0"/>
          <w:iCs w:val="0"/>
          <w:color w:val="000000"/>
        </w:rPr>
      </w:pPr>
      <w:r w:rsidRPr="00947CD3">
        <w:rPr>
          <w:rStyle w:val="Uwydatnienie"/>
          <w:rFonts w:eastAsia="Times New Roman" w:cstheme="minorHAnsi"/>
          <w:i w:val="0"/>
          <w:iCs w:val="0"/>
          <w:color w:val="000000"/>
        </w:rPr>
        <w:t>Bezpieczeństwo danych.</w:t>
      </w:r>
    </w:p>
    <w:p w14:paraId="329AE3DA" w14:textId="2973B46E" w:rsidR="009C7130" w:rsidRPr="00947CD3" w:rsidRDefault="009C7130" w:rsidP="009C7130">
      <w:pPr>
        <w:pStyle w:val="Akapitzlist"/>
        <w:numPr>
          <w:ilvl w:val="2"/>
          <w:numId w:val="1"/>
        </w:numPr>
        <w:jc w:val="both"/>
        <w:rPr>
          <w:rFonts w:eastAsia="Times New Roman" w:cstheme="minorHAnsi"/>
          <w:color w:val="000000"/>
        </w:rPr>
      </w:pPr>
      <w:r w:rsidRPr="00947CD3">
        <w:rPr>
          <w:rStyle w:val="Uwydatnienie"/>
          <w:rFonts w:eastAsia="Times New Roman" w:cstheme="minorHAnsi"/>
          <w:i w:val="0"/>
          <w:iCs w:val="0"/>
          <w:color w:val="000000"/>
        </w:rPr>
        <w:t>Wymianę wyników diagnozowanego pacjenta z systemami EDM zlokalizowanymi w innych podmiotach medycznych.</w:t>
      </w:r>
    </w:p>
    <w:p w14:paraId="387FAD88" w14:textId="77777777" w:rsidR="009C7130" w:rsidRPr="00947CD3" w:rsidRDefault="009C7130" w:rsidP="009C7130">
      <w:pPr>
        <w:pStyle w:val="Akapitzlist"/>
        <w:numPr>
          <w:ilvl w:val="2"/>
          <w:numId w:val="1"/>
        </w:numPr>
        <w:jc w:val="both"/>
        <w:rPr>
          <w:rStyle w:val="Uwydatnienie"/>
          <w:rFonts w:eastAsia="Times New Roman" w:cstheme="minorHAnsi"/>
          <w:i w:val="0"/>
          <w:iCs w:val="0"/>
          <w:color w:val="000000"/>
        </w:rPr>
      </w:pPr>
      <w:r w:rsidRPr="00947CD3">
        <w:rPr>
          <w:rStyle w:val="Uwydatnienie"/>
          <w:rFonts w:eastAsia="Times New Roman" w:cstheme="minorHAnsi"/>
          <w:i w:val="0"/>
          <w:iCs w:val="0"/>
          <w:color w:val="000000"/>
        </w:rPr>
        <w:t>Możliwość realizacji hybrydowych integracji - np. wyniki HL7 CDA do zleceń pochodzących z HIS indeksowane są w szpitalnym EDM AMDX, a do zaoferowanego rozwiązania EDM trafiają wyłącznie wyniki komercyjne i tylko im rejestrowane są Zdarzenia Medyczne.</w:t>
      </w:r>
    </w:p>
    <w:p w14:paraId="1FB05635" w14:textId="26B9946C" w:rsidR="004A3A66" w:rsidRPr="00947CD3" w:rsidRDefault="009C7130" w:rsidP="009C7130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color w:val="000000"/>
        </w:rPr>
      </w:pPr>
      <w:r w:rsidRPr="00947CD3">
        <w:rPr>
          <w:rFonts w:cstheme="minorHAnsi"/>
        </w:rPr>
        <w:t>Dostarczenie dedykowanego rozwiązania współpracującego z systemem PatARCH powinna się zakończyć do 10 dni roboczych od daty podpisania umowy i udostępnienia przez Zamawiającego certyfikatów TLS/WSS podmiotu medycznego.</w:t>
      </w:r>
    </w:p>
    <w:p w14:paraId="5347DC7D" w14:textId="77777777" w:rsidR="009C7130" w:rsidRPr="00947CD3" w:rsidRDefault="009C7130" w:rsidP="009C7130">
      <w:pPr>
        <w:ind w:left="360"/>
        <w:jc w:val="both"/>
        <w:rPr>
          <w:rFonts w:eastAsia="Times New Roman" w:cstheme="minorHAnsi"/>
          <w:color w:val="000000"/>
        </w:rPr>
      </w:pPr>
    </w:p>
    <w:sectPr w:rsidR="009C7130" w:rsidRPr="00947C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559E" w14:textId="77777777" w:rsidR="0076759E" w:rsidRDefault="0076759E" w:rsidP="0076759E">
      <w:pPr>
        <w:spacing w:after="0" w:line="240" w:lineRule="auto"/>
      </w:pPr>
      <w:r>
        <w:separator/>
      </w:r>
    </w:p>
  </w:endnote>
  <w:endnote w:type="continuationSeparator" w:id="0">
    <w:p w14:paraId="4F2D921A" w14:textId="77777777" w:rsidR="0076759E" w:rsidRDefault="0076759E" w:rsidP="007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E655" w14:textId="77777777" w:rsidR="0076759E" w:rsidRDefault="0076759E" w:rsidP="0076759E">
      <w:pPr>
        <w:spacing w:after="0" w:line="240" w:lineRule="auto"/>
      </w:pPr>
      <w:r>
        <w:separator/>
      </w:r>
    </w:p>
  </w:footnote>
  <w:footnote w:type="continuationSeparator" w:id="0">
    <w:p w14:paraId="43818EAD" w14:textId="77777777" w:rsidR="0076759E" w:rsidRDefault="0076759E" w:rsidP="007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6419" w14:textId="71995FC7" w:rsidR="00947CD3" w:rsidRDefault="00947CD3" w:rsidP="00947CD3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951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28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30"/>
    <w:rsid w:val="00197AA3"/>
    <w:rsid w:val="00434549"/>
    <w:rsid w:val="004A3A66"/>
    <w:rsid w:val="005431B0"/>
    <w:rsid w:val="00723956"/>
    <w:rsid w:val="0076759E"/>
    <w:rsid w:val="00947CD3"/>
    <w:rsid w:val="009C5623"/>
    <w:rsid w:val="009C7130"/>
    <w:rsid w:val="00D04C9A"/>
    <w:rsid w:val="00D6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021249"/>
  <w15:chartTrackingRefBased/>
  <w15:docId w15:val="{1FB67191-94A8-4E55-803E-E0BE0A83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13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1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1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1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1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13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C71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Uwydatnienie">
    <w:name w:val="Emphasis"/>
    <w:basedOn w:val="Domylnaczcionkaakapitu"/>
    <w:uiPriority w:val="20"/>
    <w:qFormat/>
    <w:rsid w:val="009C713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130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9C7130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59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59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Pater</dc:creator>
  <cp:keywords/>
  <dc:description/>
  <cp:lastModifiedBy>Tomasz Pater</cp:lastModifiedBy>
  <cp:revision>2</cp:revision>
  <dcterms:created xsi:type="dcterms:W3CDTF">2026-01-09T13:49:00Z</dcterms:created>
  <dcterms:modified xsi:type="dcterms:W3CDTF">2026-01-09T13:49:00Z</dcterms:modified>
</cp:coreProperties>
</file>