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7341" w14:textId="4135C426" w:rsidR="000D7E73" w:rsidRDefault="00186BBF" w:rsidP="00186BBF">
      <w:pPr>
        <w:jc w:val="right"/>
      </w:pPr>
      <w:r>
        <w:t>Załącznik nr 2</w:t>
      </w:r>
    </w:p>
    <w:p w14:paraId="34F66233" w14:textId="03DC5B6A" w:rsidR="000D7E73" w:rsidRPr="009B0159" w:rsidRDefault="000D7E73" w:rsidP="000D7E73">
      <w:pPr>
        <w:jc w:val="center"/>
        <w:rPr>
          <w:b/>
          <w:bCs/>
          <w:sz w:val="28"/>
          <w:szCs w:val="28"/>
        </w:rPr>
      </w:pPr>
      <w:r w:rsidRPr="009B0159">
        <w:rPr>
          <w:b/>
          <w:bCs/>
          <w:sz w:val="28"/>
          <w:szCs w:val="28"/>
        </w:rPr>
        <w:t xml:space="preserve">Opis przedmiotu </w:t>
      </w:r>
      <w:r w:rsidR="00186BBF">
        <w:rPr>
          <w:b/>
          <w:bCs/>
          <w:sz w:val="28"/>
          <w:szCs w:val="28"/>
        </w:rPr>
        <w:t>szacowania</w:t>
      </w:r>
    </w:p>
    <w:p w14:paraId="6B221358" w14:textId="77777777" w:rsidR="000D7E73" w:rsidRDefault="000D7E73" w:rsidP="000D7E73">
      <w:pPr>
        <w:jc w:val="center"/>
      </w:pPr>
    </w:p>
    <w:p w14:paraId="154D087D" w14:textId="77777777" w:rsidR="000D7E73" w:rsidRDefault="000D7E73" w:rsidP="000D7E73">
      <w:pPr>
        <w:jc w:val="center"/>
        <w:rPr>
          <w:b/>
          <w:bCs/>
          <w:sz w:val="24"/>
          <w:szCs w:val="24"/>
        </w:rPr>
      </w:pPr>
      <w:r w:rsidRPr="009B0159">
        <w:rPr>
          <w:b/>
          <w:bCs/>
          <w:sz w:val="24"/>
          <w:szCs w:val="24"/>
        </w:rPr>
        <w:t>Zakup usługi całodobowego monitorowania i reagowania na incydenty bezpieczeństwa (SOC) na okres 36 miesięcy</w:t>
      </w:r>
    </w:p>
    <w:p w14:paraId="2FC3B20A" w14:textId="3E28D62B" w:rsidR="00D669A9" w:rsidRPr="009B0159" w:rsidRDefault="00D669A9" w:rsidP="00D669A9">
      <w:pPr>
        <w:rPr>
          <w:b/>
          <w:bCs/>
          <w:sz w:val="24"/>
          <w:szCs w:val="24"/>
        </w:rPr>
      </w:pPr>
      <w:r w:rsidRPr="00D669A9">
        <w:rPr>
          <w:b/>
          <w:bCs/>
          <w:sz w:val="24"/>
          <w:szCs w:val="24"/>
        </w:rPr>
        <w:t>Zakres zamówienia wynika z przeprowadzonej Ankiety weryfikacji dojrzałości w zakresie cyberbezpieczeństwa, w szczególności w obszarach: monitorowania zdarzeń bezpieczeństwa, reagowania na incydenty, korelacji zdarzeń, dokumentowania incydentów oraz zapewnienia ciągłości monitorowania systemów teleinformatycznych, które zostały wskazane jako niespełnione lub wymagające doskonalenia.</w:t>
      </w:r>
    </w:p>
    <w:p w14:paraId="474B5E14" w14:textId="77777777" w:rsidR="000D7E73" w:rsidRPr="009B0159" w:rsidRDefault="000D7E73" w:rsidP="000D7E73">
      <w:pPr>
        <w:spacing w:line="240" w:lineRule="auto"/>
        <w:rPr>
          <w:b/>
          <w:bCs/>
          <w:sz w:val="24"/>
          <w:szCs w:val="24"/>
        </w:rPr>
      </w:pPr>
      <w:r w:rsidRPr="009B0159">
        <w:rPr>
          <w:b/>
          <w:bCs/>
          <w:sz w:val="24"/>
          <w:szCs w:val="24"/>
        </w:rPr>
        <w:t>Cześć 1</w:t>
      </w:r>
    </w:p>
    <w:p w14:paraId="316507B9" w14:textId="77777777" w:rsidR="000D7E73" w:rsidRDefault="000D7E73" w:rsidP="000D7E73">
      <w:pPr>
        <w:pStyle w:val="Bezodstpw"/>
        <w:numPr>
          <w:ilvl w:val="0"/>
          <w:numId w:val="5"/>
        </w:numPr>
      </w:pPr>
      <w:r>
        <w:t>Założenia i wymagania ogólne</w:t>
      </w:r>
    </w:p>
    <w:p w14:paraId="0BE6119D" w14:textId="77777777" w:rsidR="000D7E73" w:rsidRDefault="000D7E73" w:rsidP="000D7E73">
      <w:pPr>
        <w:pStyle w:val="Bezodstpw"/>
        <w:ind w:left="708"/>
      </w:pPr>
    </w:p>
    <w:p w14:paraId="143E5981" w14:textId="77777777" w:rsidR="000D7E73" w:rsidRDefault="000D7E73" w:rsidP="000D7E73">
      <w:pPr>
        <w:pStyle w:val="Bezodstpw"/>
        <w:numPr>
          <w:ilvl w:val="1"/>
          <w:numId w:val="5"/>
        </w:numPr>
      </w:pPr>
      <w:r>
        <w:t>W celu wzmocnienia odporności NIO o. w Krakowie na cyberataki, Zamawiający zleca świadczenie usług zarządzanych w zakresie cyberbezpieczeństwa, opartych o centrum operacji bezpieczeństwa (SOC – Security Operations Center) działające całodobowo – 24 godziny na dobę, 7 dni w tygodniu, przez cały rok (tryb 24/7/365), które będzie odpowiadało za realizację działań związanych z cyber ryzykiem w tym, w tym w szczególności:</w:t>
      </w:r>
    </w:p>
    <w:p w14:paraId="36FC5672" w14:textId="77777777" w:rsidR="000D7E73" w:rsidRDefault="000D7E73" w:rsidP="000D7E73">
      <w:pPr>
        <w:pStyle w:val="Bezodstpw"/>
        <w:numPr>
          <w:ilvl w:val="2"/>
          <w:numId w:val="5"/>
        </w:numPr>
      </w:pPr>
      <w:r>
        <w:t>świadczenie usługi SOC wraz z raportowaniem,</w:t>
      </w:r>
    </w:p>
    <w:p w14:paraId="098D302E" w14:textId="77777777" w:rsidR="000D7E73" w:rsidRDefault="000D7E73" w:rsidP="000D7E73">
      <w:pPr>
        <w:pStyle w:val="Bezodstpw"/>
        <w:numPr>
          <w:ilvl w:val="2"/>
          <w:numId w:val="5"/>
        </w:numPr>
      </w:pPr>
      <w:r>
        <w:t>uruchomienie i utrzymanie systemów SIEM (Security Information and Event Management) oraz brokera komunikacyjnego zapewniającego separację środowiska Wykonawcy i środowiska Zamawiającego.</w:t>
      </w:r>
    </w:p>
    <w:p w14:paraId="087E033F" w14:textId="77777777" w:rsidR="000D7E73" w:rsidRDefault="000D7E73" w:rsidP="000D7E73">
      <w:pPr>
        <w:pStyle w:val="Bezodstpw"/>
      </w:pPr>
    </w:p>
    <w:p w14:paraId="654F33A5" w14:textId="77777777" w:rsidR="000D7E73" w:rsidRDefault="000D7E73" w:rsidP="000D7E73">
      <w:pPr>
        <w:pStyle w:val="Bezodstpw"/>
        <w:numPr>
          <w:ilvl w:val="1"/>
          <w:numId w:val="5"/>
        </w:numPr>
      </w:pPr>
      <w:r>
        <w:t xml:space="preserve">Usługa SOC powinna spełniać wymagania opisane w niniejszym dokumencie, a zaproponowane rozwiązanie powinno posiadać architekturę separującą infrastrukturę Zamawiającego od infrastruktury Wykonawcy. Dopuszcza się dodanie innych rozwiązań zwiększających bezpieczeństwo przepływów danych, przy czym każde rozwiązanie inne niż opisane w niniejszym dokumencie wymaga uzyskania uprzedniej akceptacji Zamawiającego. Komunikacja między infrastrukturą Wykonawcy i Zamawiającego powinna być szyfrowana, a Wykonawca powinien zapewnić niezawodną komunikację z infrastrukturą Zamawiającego. Dopuszcza się zastosowanie dedykowanego łącza do infrastruktury Zamawiającego, jeśli Wykonawca dysponuje takim łączem. Zamawiający dopuszcza uruchomienie usługi w chmurze, pod </w:t>
      </w:r>
      <w:proofErr w:type="gramStart"/>
      <w:r>
        <w:t>warunkiem</w:t>
      </w:r>
      <w:proofErr w:type="gramEnd"/>
      <w:r>
        <w:t xml:space="preserve"> że cała usługa będzie umieszczona w Europejskim Obszarze Gospodarczym.</w:t>
      </w:r>
    </w:p>
    <w:p w14:paraId="2A7D1DC7" w14:textId="77777777" w:rsidR="000D7E73" w:rsidRDefault="000D7E73" w:rsidP="000D7E73">
      <w:pPr>
        <w:pStyle w:val="Bezodstpw"/>
        <w:ind w:left="1068"/>
      </w:pPr>
    </w:p>
    <w:p w14:paraId="1CEC3728" w14:textId="77777777" w:rsidR="000D7E73" w:rsidRDefault="000D7E73" w:rsidP="000D7E73">
      <w:pPr>
        <w:pStyle w:val="Bezodstpw"/>
        <w:numPr>
          <w:ilvl w:val="0"/>
          <w:numId w:val="5"/>
        </w:numPr>
        <w:ind w:left="708"/>
      </w:pPr>
      <w:r w:rsidRPr="005560AF">
        <w:t>Raporty zawierające informacje na temat podatności lub incydentów dotycząc</w:t>
      </w:r>
      <w:r>
        <w:t>ych</w:t>
      </w:r>
      <w:r w:rsidRPr="005560AF">
        <w:t xml:space="preserve"> infrastruktury</w:t>
      </w:r>
      <w:r>
        <w:t xml:space="preserve"> </w:t>
      </w:r>
      <w:r w:rsidRPr="005560AF">
        <w:t>Zamawiającego oraz raporty miesięczne będą przekazywane przez Wykonawcę w sposób</w:t>
      </w:r>
      <w:r>
        <w:t xml:space="preserve"> </w:t>
      </w:r>
      <w:r w:rsidRPr="005560AF">
        <w:t>bezpieczny, jako informacje wymagające szczególnej ochrony</w:t>
      </w:r>
      <w:r>
        <w:t>,</w:t>
      </w:r>
      <w:r w:rsidRPr="005560AF">
        <w:t xml:space="preserve"> o charakterze niejawnym</w:t>
      </w:r>
      <w:r>
        <w:t xml:space="preserve"> </w:t>
      </w:r>
      <w:r w:rsidRPr="00580027">
        <w:t>w rozumieniu wewnętrznych regulacji Zamawiającego.</w:t>
      </w:r>
    </w:p>
    <w:p w14:paraId="2D0CC788" w14:textId="77777777" w:rsidR="000D7E73" w:rsidRDefault="000D7E73" w:rsidP="000D7E73">
      <w:pPr>
        <w:pStyle w:val="Bezodstpw"/>
      </w:pPr>
    </w:p>
    <w:p w14:paraId="5E4F899E" w14:textId="77777777" w:rsidR="000D7E73" w:rsidRDefault="000D7E73" w:rsidP="000D7E73">
      <w:pPr>
        <w:pStyle w:val="Bezodstpw"/>
        <w:numPr>
          <w:ilvl w:val="0"/>
          <w:numId w:val="5"/>
        </w:numPr>
      </w:pPr>
      <w:r w:rsidRPr="007247AD">
        <w:t>Wymagania w zakresie świadczenia usługi SOC</w:t>
      </w:r>
    </w:p>
    <w:p w14:paraId="2C5F4ABE" w14:textId="77777777" w:rsidR="000D7E73" w:rsidRDefault="000D7E73" w:rsidP="000D7E73">
      <w:pPr>
        <w:pStyle w:val="Bezodstpw"/>
      </w:pPr>
      <w:r>
        <w:tab/>
      </w:r>
    </w:p>
    <w:p w14:paraId="5EC3146B" w14:textId="77777777" w:rsidR="000D7E73" w:rsidRDefault="000D7E73" w:rsidP="000D7E73">
      <w:pPr>
        <w:pStyle w:val="Akapitzlist"/>
        <w:numPr>
          <w:ilvl w:val="0"/>
          <w:numId w:val="3"/>
        </w:numPr>
        <w:spacing w:after="0" w:line="240" w:lineRule="auto"/>
      </w:pPr>
      <w:r>
        <w:t xml:space="preserve">Uruchomienie i utrzymanie systemu SIEM służącego do zbierania i korelacji logów ze źródeł Zamawiającego (200 serwerów Windows/Linux, 150 urządzeń sieciowych, 1000 </w:t>
      </w:r>
      <w:r>
        <w:lastRenderedPageBreak/>
        <w:t>stacji roboczych użytkowników), zgodnie ze specyfikacją opisaną w niniejszym dokumencie, przy zachowaniu harmonogramu i bez limitu reguł korelacyjnych.</w:t>
      </w:r>
    </w:p>
    <w:p w14:paraId="7CF32BF4" w14:textId="77777777" w:rsidR="000D7E73" w:rsidRDefault="000D7E73" w:rsidP="000D7E73">
      <w:pPr>
        <w:pStyle w:val="Akapitzlist"/>
        <w:numPr>
          <w:ilvl w:val="0"/>
          <w:numId w:val="3"/>
        </w:numPr>
        <w:spacing w:after="0" w:line="240" w:lineRule="auto"/>
      </w:pPr>
      <w:r>
        <w:t xml:space="preserve">Przeprowadzenie analizy infrastruktury Zamawiającego w celu określenia systemów kluczowych dla cyberbezpieczeństwa, przewidzianych do </w:t>
      </w:r>
      <w:proofErr w:type="gramStart"/>
      <w:r>
        <w:t>monitorowania,</w:t>
      </w:r>
      <w:proofErr w:type="gramEnd"/>
      <w:r>
        <w:t xml:space="preserve"> oraz priorytetyzacja systemów ze względu na termin ich podłączenia do systemu SIEM.</w:t>
      </w:r>
    </w:p>
    <w:p w14:paraId="17EA1CBD" w14:textId="77777777" w:rsidR="000D7E73" w:rsidRDefault="000D7E73" w:rsidP="000D7E73">
      <w:pPr>
        <w:pStyle w:val="Akapitzlist"/>
        <w:numPr>
          <w:ilvl w:val="0"/>
          <w:numId w:val="3"/>
        </w:numPr>
        <w:spacing w:after="0" w:line="240" w:lineRule="auto"/>
      </w:pPr>
      <w:r>
        <w:t>P</w:t>
      </w:r>
      <w:r w:rsidRPr="009728D9">
        <w:t xml:space="preserve">odłączenie do systemu SIEM </w:t>
      </w:r>
      <w:r>
        <w:t xml:space="preserve">wskazanych </w:t>
      </w:r>
      <w:r w:rsidRPr="009728D9">
        <w:t>systemów i urządzeń Zamawiającego</w:t>
      </w:r>
      <w:r>
        <w:t>.</w:t>
      </w:r>
    </w:p>
    <w:p w14:paraId="0B5D441F" w14:textId="77777777" w:rsidR="000D7E73" w:rsidRPr="009063FF" w:rsidRDefault="000D7E73" w:rsidP="000D7E73">
      <w:pPr>
        <w:pStyle w:val="Akapitzlist"/>
        <w:numPr>
          <w:ilvl w:val="0"/>
          <w:numId w:val="3"/>
        </w:numPr>
        <w:spacing w:after="0" w:line="240" w:lineRule="auto"/>
      </w:pPr>
      <w:r>
        <w:t>Zamawiający zakłada, że w każdym roku trwania umowy do obsługi może zostać dołączonych kolejnych 30 źródeł logów.</w:t>
      </w:r>
    </w:p>
    <w:p w14:paraId="140B1B5A" w14:textId="77777777" w:rsidR="000D7E73" w:rsidRPr="006B6686" w:rsidRDefault="000D7E73" w:rsidP="000D7E73">
      <w:pPr>
        <w:pStyle w:val="Akapitzlist"/>
        <w:numPr>
          <w:ilvl w:val="0"/>
          <w:numId w:val="3"/>
        </w:numPr>
        <w:spacing w:after="0" w:line="240" w:lineRule="auto"/>
        <w:rPr>
          <w:rFonts w:ascii="Calibri" w:eastAsia="Times New Roman" w:hAnsi="Calibri" w:cs="Calibri"/>
          <w:color w:val="000000"/>
          <w:lang w:eastAsia="pl-PL"/>
        </w:rPr>
      </w:pPr>
      <w:r>
        <w:t>Wdrożenie oprogramowania pośredniczącego (brokera) bez limitów związanych z jego użytkowaniem.</w:t>
      </w:r>
    </w:p>
    <w:p w14:paraId="0925071E" w14:textId="77777777" w:rsidR="000D7E73" w:rsidRDefault="000D7E73" w:rsidP="000D7E73">
      <w:pPr>
        <w:pStyle w:val="Akapitzlist"/>
        <w:numPr>
          <w:ilvl w:val="0"/>
          <w:numId w:val="3"/>
        </w:numPr>
        <w:spacing w:after="0" w:line="240" w:lineRule="auto"/>
        <w:rPr>
          <w:rFonts w:ascii="Calibri" w:eastAsia="Times New Roman" w:hAnsi="Calibri" w:cs="Calibri"/>
          <w:color w:val="000000"/>
          <w:lang w:eastAsia="pl-PL"/>
        </w:rPr>
      </w:pPr>
      <w:r w:rsidRPr="00084C7F">
        <w:rPr>
          <w:rFonts w:ascii="Calibri" w:eastAsia="Times New Roman" w:hAnsi="Calibri" w:cs="Calibri"/>
          <w:color w:val="000000"/>
          <w:lang w:eastAsia="pl-PL"/>
        </w:rPr>
        <w:t xml:space="preserve">Zamawiający dopuszcza zastosowanie rozwiązania łączącego funkcjonalności uruchamianych i utrzymywanych systemów, pod </w:t>
      </w:r>
      <w:proofErr w:type="gramStart"/>
      <w:r w:rsidRPr="00084C7F">
        <w:rPr>
          <w:rFonts w:ascii="Calibri" w:eastAsia="Times New Roman" w:hAnsi="Calibri" w:cs="Calibri"/>
          <w:color w:val="000000"/>
          <w:lang w:eastAsia="pl-PL"/>
        </w:rPr>
        <w:t>warunkiem</w:t>
      </w:r>
      <w:proofErr w:type="gramEnd"/>
      <w:r w:rsidRPr="00084C7F">
        <w:rPr>
          <w:rFonts w:ascii="Calibri" w:eastAsia="Times New Roman" w:hAnsi="Calibri" w:cs="Calibri"/>
          <w:color w:val="000000"/>
          <w:lang w:eastAsia="pl-PL"/>
        </w:rPr>
        <w:t xml:space="preserve"> że rozwiązanie to spełnia wymagania dotyczące</w:t>
      </w:r>
      <w:r>
        <w:rPr>
          <w:rFonts w:ascii="Calibri" w:eastAsia="Times New Roman" w:hAnsi="Calibri" w:cs="Calibri"/>
          <w:color w:val="000000"/>
          <w:lang w:eastAsia="pl-PL"/>
        </w:rPr>
        <w:t xml:space="preserve"> </w:t>
      </w:r>
      <w:r w:rsidRPr="00084C7F">
        <w:rPr>
          <w:rFonts w:ascii="Calibri" w:eastAsia="Times New Roman" w:hAnsi="Calibri" w:cs="Calibri"/>
          <w:color w:val="000000"/>
          <w:lang w:eastAsia="pl-PL"/>
        </w:rPr>
        <w:t>poszczególnych systemów, opisane w dalszej części dokumentu.</w:t>
      </w:r>
    </w:p>
    <w:p w14:paraId="6C8EBEF2" w14:textId="77777777" w:rsidR="000D7E73" w:rsidRPr="005D5293" w:rsidRDefault="000D7E73" w:rsidP="000D7E73">
      <w:pPr>
        <w:pStyle w:val="Akapitzlist"/>
        <w:numPr>
          <w:ilvl w:val="0"/>
          <w:numId w:val="3"/>
        </w:numPr>
        <w:spacing w:after="0" w:line="240" w:lineRule="auto"/>
        <w:rPr>
          <w:rFonts w:ascii="Calibri" w:eastAsia="Times New Roman" w:hAnsi="Calibri" w:cs="Calibri"/>
          <w:color w:val="000000"/>
          <w:lang w:eastAsia="pl-PL"/>
        </w:rPr>
      </w:pPr>
      <w:r w:rsidRPr="006B6686">
        <w:t xml:space="preserve"> </w:t>
      </w:r>
      <w:r>
        <w:t>Świadczenie usługi pierwszej linii wsparcia (SOC-L1) w trybie 24/7/365, obejmującej: monitorowanie infrastruktury i systemów IT, korelację zdarzeń, identyfikację zdarzeń potencjalnie niebezpiecznych, wykrywanie i informowanie o incydentach, z maksymalnym czasem reakcji na incydent wynoszącym 30 minut od momentu jego wykrycia lub zgłoszenia.</w:t>
      </w:r>
    </w:p>
    <w:p w14:paraId="3B403AD5" w14:textId="77777777" w:rsidR="000D7E73" w:rsidRDefault="000D7E73" w:rsidP="000D7E73">
      <w:pPr>
        <w:pStyle w:val="Akapitzlist"/>
        <w:spacing w:after="0" w:line="240" w:lineRule="auto"/>
        <w:ind w:left="1068"/>
        <w:rPr>
          <w:rFonts w:ascii="Calibri" w:eastAsia="Times New Roman" w:hAnsi="Calibri" w:cs="Calibri"/>
          <w:color w:val="000000"/>
          <w:lang w:eastAsia="pl-PL"/>
        </w:rPr>
      </w:pPr>
      <w:r w:rsidRPr="005D5293">
        <w:rPr>
          <w:rFonts w:ascii="Calibri" w:eastAsia="Times New Roman" w:hAnsi="Calibri" w:cs="Calibri"/>
          <w:color w:val="000000"/>
          <w:lang w:eastAsia="pl-PL"/>
        </w:rPr>
        <w:t>Wykonawca zapewnia Zamawiającemu</w:t>
      </w:r>
      <w:r>
        <w:rPr>
          <w:rFonts w:ascii="Calibri" w:eastAsia="Times New Roman" w:hAnsi="Calibri" w:cs="Calibri"/>
          <w:color w:val="000000"/>
          <w:lang w:eastAsia="pl-PL"/>
        </w:rPr>
        <w:t>:</w:t>
      </w:r>
    </w:p>
    <w:p w14:paraId="2A1DCD08" w14:textId="77777777" w:rsidR="000D7E73" w:rsidRPr="006B6686" w:rsidRDefault="000D7E73" w:rsidP="000D7E73">
      <w:pPr>
        <w:pStyle w:val="Akapitzlist"/>
        <w:numPr>
          <w:ilvl w:val="1"/>
          <w:numId w:val="3"/>
        </w:numPr>
        <w:spacing w:after="0" w:line="240" w:lineRule="auto"/>
        <w:rPr>
          <w:rFonts w:ascii="Calibri" w:eastAsia="Times New Roman" w:hAnsi="Calibri" w:cs="Calibri"/>
          <w:color w:val="000000"/>
          <w:lang w:eastAsia="pl-PL"/>
        </w:rPr>
      </w:pPr>
      <w:r>
        <w:t xml:space="preserve">przekazywanie informacji o potencjalnych incydentach wypracowanym i uzgodnionym kanałem komunikacji, </w:t>
      </w:r>
    </w:p>
    <w:p w14:paraId="544F629A"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t>dostęp do monitorowania SIEM w trybie 24/7/365 w uzgodnionym zakresie (co najmniej odczyt logów, alertów i raportów),</w:t>
      </w:r>
    </w:p>
    <w:p w14:paraId="04869EB7"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t>obsługę zgłoszeń we własnym systemie ITSM wraz z jego utrzymaniem dla użytkowników i administratorów Zamawiającego</w:t>
      </w:r>
      <w:r w:rsidRPr="005D5293">
        <w:rPr>
          <w:rFonts w:ascii="Calibri" w:eastAsia="Times New Roman" w:hAnsi="Calibri" w:cs="Calibri"/>
          <w:color w:val="000000"/>
          <w:lang w:eastAsia="pl-PL"/>
        </w:rPr>
        <w:t>,</w:t>
      </w:r>
    </w:p>
    <w:p w14:paraId="3B83941E" w14:textId="77777777" w:rsidR="000D7E73" w:rsidRPr="006B6686" w:rsidRDefault="000D7E73" w:rsidP="000D7E73">
      <w:pPr>
        <w:pStyle w:val="Akapitzlist"/>
        <w:numPr>
          <w:ilvl w:val="1"/>
          <w:numId w:val="3"/>
        </w:numPr>
        <w:spacing w:after="0" w:line="240" w:lineRule="auto"/>
        <w:rPr>
          <w:rFonts w:ascii="Calibri" w:eastAsia="Times New Roman" w:hAnsi="Calibri" w:cs="Calibri"/>
          <w:color w:val="000000"/>
          <w:lang w:eastAsia="pl-PL"/>
        </w:rPr>
      </w:pPr>
      <w:r>
        <w:t>możliwość definiowania przez Zamawiającego własnych reguł korelacyjnych w systemie SIEM (lub zgłaszania ich do implementacji przez Wykonawcę),</w:t>
      </w:r>
    </w:p>
    <w:p w14:paraId="41D6213C"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D5293">
        <w:rPr>
          <w:rFonts w:ascii="Calibri" w:eastAsia="Times New Roman" w:hAnsi="Calibri" w:cs="Calibri"/>
          <w:color w:val="000000"/>
          <w:lang w:eastAsia="pl-PL"/>
        </w:rPr>
        <w:t>monitorowanie potencjalnych naruszeń bezpieczeństwa IT</w:t>
      </w:r>
      <w:r>
        <w:rPr>
          <w:rFonts w:ascii="Calibri" w:eastAsia="Times New Roman" w:hAnsi="Calibri" w:cs="Calibri"/>
          <w:color w:val="000000"/>
          <w:lang w:eastAsia="pl-PL"/>
        </w:rPr>
        <w:t>,</w:t>
      </w:r>
    </w:p>
    <w:p w14:paraId="4EC5C892"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D5293">
        <w:rPr>
          <w:rFonts w:ascii="Calibri" w:eastAsia="Times New Roman" w:hAnsi="Calibri" w:cs="Calibri"/>
          <w:color w:val="000000"/>
          <w:lang w:eastAsia="pl-PL"/>
        </w:rPr>
        <w:t>przyjmowanie zgłoszeń o podejrzanych aktywnościach od personelu Zamawiającego,</w:t>
      </w:r>
    </w:p>
    <w:p w14:paraId="14AC77B6"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D5293">
        <w:rPr>
          <w:rFonts w:ascii="Calibri" w:eastAsia="Times New Roman" w:hAnsi="Calibri" w:cs="Calibri"/>
          <w:color w:val="000000"/>
          <w:lang w:eastAsia="pl-PL"/>
        </w:rPr>
        <w:t>przeprowadzanie wstępnej analizy i eliminacji fałszywych alertów</w:t>
      </w:r>
      <w:r>
        <w:rPr>
          <w:rFonts w:ascii="Calibri" w:eastAsia="Times New Roman" w:hAnsi="Calibri" w:cs="Calibri"/>
          <w:color w:val="000000"/>
          <w:lang w:eastAsia="pl-PL"/>
        </w:rPr>
        <w:t>,</w:t>
      </w:r>
    </w:p>
    <w:p w14:paraId="37793F75"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D5293">
        <w:rPr>
          <w:rFonts w:ascii="Calibri" w:eastAsia="Times New Roman" w:hAnsi="Calibri" w:cs="Calibri"/>
          <w:color w:val="000000"/>
          <w:lang w:eastAsia="pl-PL"/>
        </w:rPr>
        <w:t>współpracę z administratorami lokalnymi</w:t>
      </w:r>
      <w:r>
        <w:rPr>
          <w:rFonts w:ascii="Calibri" w:eastAsia="Times New Roman" w:hAnsi="Calibri" w:cs="Calibri"/>
          <w:color w:val="000000"/>
          <w:lang w:eastAsia="pl-PL"/>
        </w:rPr>
        <w:t xml:space="preserve"> Zamawiającego,</w:t>
      </w:r>
    </w:p>
    <w:p w14:paraId="41844A23"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t>przekazywanie uzgodnionych informacji o incydentach do CSIRT NASK oraz wypełnianie w imieniu Zamawiającego obowiązków wynikających z ustawy z dnia 10 czerwca 2016 r. o działaniach antyterrorystycznych w zakresie stopni alarmowych CRP i monitorowania systemów informatycznych, a także wsparcie Zamawiającego w wypełnianiu zaleceń wynikających z ustawy z dnia 5 lipca 2018 r. o krajowym systemie cyberbezpieczeństwa wraz z jej planowaną nowelizacją.</w:t>
      </w:r>
    </w:p>
    <w:p w14:paraId="0B1D0A5E" w14:textId="77777777" w:rsidR="000D7E73" w:rsidRDefault="000D7E73" w:rsidP="000D7E73">
      <w:pPr>
        <w:pStyle w:val="Akapitzlist"/>
        <w:spacing w:after="0" w:line="240" w:lineRule="auto"/>
        <w:ind w:left="1788"/>
        <w:rPr>
          <w:rFonts w:ascii="Calibri" w:eastAsia="Times New Roman" w:hAnsi="Calibri" w:cs="Calibri"/>
          <w:color w:val="000000"/>
          <w:lang w:eastAsia="pl-PL"/>
        </w:rPr>
      </w:pPr>
    </w:p>
    <w:p w14:paraId="74236FF8" w14:textId="77777777" w:rsidR="000D7E73" w:rsidRDefault="000D7E73" w:rsidP="000D7E73">
      <w:pPr>
        <w:pStyle w:val="Akapitzlist"/>
        <w:numPr>
          <w:ilvl w:val="0"/>
          <w:numId w:val="3"/>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Wykonawca zapewni Zamawiającemu:</w:t>
      </w:r>
    </w:p>
    <w:p w14:paraId="0E8B634D" w14:textId="77777777" w:rsidR="000D7E73" w:rsidRDefault="000D7E73" w:rsidP="000D7E73">
      <w:pPr>
        <w:pStyle w:val="Akapitzlist"/>
        <w:numPr>
          <w:ilvl w:val="1"/>
          <w:numId w:val="3"/>
        </w:numPr>
        <w:rPr>
          <w:rFonts w:ascii="Calibri" w:eastAsia="Times New Roman" w:hAnsi="Calibri" w:cs="Calibri"/>
          <w:color w:val="000000"/>
          <w:lang w:eastAsia="pl-PL"/>
        </w:rPr>
      </w:pPr>
      <w:r w:rsidRPr="003F795E">
        <w:rPr>
          <w:rFonts w:ascii="Calibri" w:eastAsia="Times New Roman" w:hAnsi="Calibri" w:cs="Calibri"/>
          <w:color w:val="000000"/>
          <w:lang w:eastAsia="pl-PL"/>
        </w:rPr>
        <w:t>Przygotowanie</w:t>
      </w:r>
      <w:r>
        <w:rPr>
          <w:rFonts w:ascii="Calibri" w:eastAsia="Times New Roman" w:hAnsi="Calibri" w:cs="Calibri"/>
          <w:color w:val="000000"/>
          <w:lang w:eastAsia="pl-PL"/>
        </w:rPr>
        <w:t>, wspólnie</w:t>
      </w:r>
      <w:r w:rsidRPr="003F795E">
        <w:rPr>
          <w:rFonts w:ascii="Calibri" w:eastAsia="Times New Roman" w:hAnsi="Calibri" w:cs="Calibri"/>
          <w:color w:val="000000"/>
          <w:lang w:eastAsia="pl-PL"/>
        </w:rPr>
        <w:t xml:space="preserve"> z administratorami lokalnymi Zamawiającego</w:t>
      </w:r>
      <w:r>
        <w:rPr>
          <w:rFonts w:ascii="Calibri" w:eastAsia="Times New Roman" w:hAnsi="Calibri" w:cs="Calibri"/>
          <w:color w:val="000000"/>
          <w:lang w:eastAsia="pl-PL"/>
        </w:rPr>
        <w:t>,</w:t>
      </w:r>
      <w:r w:rsidRPr="003F795E">
        <w:rPr>
          <w:rFonts w:ascii="Calibri" w:eastAsia="Times New Roman" w:hAnsi="Calibri" w:cs="Calibri"/>
          <w:color w:val="000000"/>
          <w:lang w:eastAsia="pl-PL"/>
        </w:rPr>
        <w:t xml:space="preserve"> scenariuszy reakcji</w:t>
      </w:r>
      <w:r>
        <w:rPr>
          <w:rFonts w:ascii="Calibri" w:eastAsia="Times New Roman" w:hAnsi="Calibri" w:cs="Calibri"/>
          <w:color w:val="000000"/>
          <w:lang w:eastAsia="pl-PL"/>
        </w:rPr>
        <w:t xml:space="preserve"> </w:t>
      </w:r>
      <w:r w:rsidRPr="003F795E">
        <w:rPr>
          <w:rFonts w:ascii="Calibri" w:eastAsia="Times New Roman" w:hAnsi="Calibri" w:cs="Calibri"/>
          <w:color w:val="000000"/>
          <w:lang w:eastAsia="pl-PL"/>
        </w:rPr>
        <w:t>na incydenty, wynikając</w:t>
      </w:r>
      <w:r>
        <w:rPr>
          <w:rFonts w:ascii="Calibri" w:eastAsia="Times New Roman" w:hAnsi="Calibri" w:cs="Calibri"/>
          <w:color w:val="000000"/>
          <w:lang w:eastAsia="pl-PL"/>
        </w:rPr>
        <w:t>ych</w:t>
      </w:r>
      <w:r w:rsidRPr="003F795E">
        <w:rPr>
          <w:rFonts w:ascii="Calibri" w:eastAsia="Times New Roman" w:hAnsi="Calibri" w:cs="Calibri"/>
          <w:color w:val="000000"/>
          <w:lang w:eastAsia="pl-PL"/>
        </w:rPr>
        <w:t xml:space="preserve"> z reguł korelacyjnych</w:t>
      </w:r>
      <w:r>
        <w:rPr>
          <w:rFonts w:ascii="Calibri" w:eastAsia="Times New Roman" w:hAnsi="Calibri" w:cs="Calibri"/>
          <w:color w:val="000000"/>
          <w:lang w:eastAsia="pl-PL"/>
        </w:rPr>
        <w:t>,</w:t>
      </w:r>
    </w:p>
    <w:p w14:paraId="146D2B29"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3F795E">
        <w:rPr>
          <w:rFonts w:ascii="Calibri" w:eastAsia="Times New Roman" w:hAnsi="Calibri" w:cs="Calibri"/>
          <w:color w:val="000000"/>
          <w:lang w:eastAsia="pl-PL"/>
        </w:rPr>
        <w:t>przygotowanie z administratorami lokalnymi Zamawiającego planów postępowania z incydentami,</w:t>
      </w:r>
    </w:p>
    <w:p w14:paraId="3B1D817C"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34B85">
        <w:rPr>
          <w:rFonts w:ascii="Calibri" w:eastAsia="Times New Roman" w:hAnsi="Calibri" w:cs="Calibri"/>
          <w:color w:val="000000"/>
          <w:lang w:eastAsia="pl-PL"/>
        </w:rPr>
        <w:t>wyda</w:t>
      </w:r>
      <w:r>
        <w:rPr>
          <w:rFonts w:ascii="Calibri" w:eastAsia="Times New Roman" w:hAnsi="Calibri" w:cs="Calibri"/>
          <w:color w:val="000000"/>
          <w:lang w:eastAsia="pl-PL"/>
        </w:rPr>
        <w:t>wa</w:t>
      </w:r>
      <w:r w:rsidRPr="00534B85">
        <w:rPr>
          <w:rFonts w:ascii="Calibri" w:eastAsia="Times New Roman" w:hAnsi="Calibri" w:cs="Calibri"/>
          <w:color w:val="000000"/>
          <w:lang w:eastAsia="pl-PL"/>
        </w:rPr>
        <w:t>nie zaleceń i opracowanie scenariusz</w:t>
      </w:r>
      <w:r>
        <w:rPr>
          <w:rFonts w:ascii="Calibri" w:eastAsia="Times New Roman" w:hAnsi="Calibri" w:cs="Calibri"/>
          <w:color w:val="000000"/>
          <w:lang w:eastAsia="pl-PL"/>
        </w:rPr>
        <w:t>y</w:t>
      </w:r>
      <w:r w:rsidRPr="00534B85">
        <w:rPr>
          <w:rFonts w:ascii="Calibri" w:eastAsia="Times New Roman" w:hAnsi="Calibri" w:cs="Calibri"/>
          <w:color w:val="000000"/>
          <w:lang w:eastAsia="pl-PL"/>
        </w:rPr>
        <w:t xml:space="preserve"> mitygacji ryzyka wynikającego z incydentu oraz</w:t>
      </w:r>
      <w:r>
        <w:rPr>
          <w:rFonts w:ascii="Calibri" w:eastAsia="Times New Roman" w:hAnsi="Calibri" w:cs="Calibri"/>
          <w:color w:val="000000"/>
          <w:lang w:eastAsia="pl-PL"/>
        </w:rPr>
        <w:t xml:space="preserve"> </w:t>
      </w:r>
      <w:r w:rsidRPr="00534B85">
        <w:rPr>
          <w:rFonts w:ascii="Calibri" w:eastAsia="Times New Roman" w:hAnsi="Calibri" w:cs="Calibri"/>
          <w:color w:val="000000"/>
          <w:lang w:eastAsia="pl-PL"/>
        </w:rPr>
        <w:t>wsparcie administratorów IT przy realizacji przygotowanego scenariusza</w:t>
      </w:r>
      <w:r>
        <w:rPr>
          <w:rFonts w:ascii="Calibri" w:eastAsia="Times New Roman" w:hAnsi="Calibri" w:cs="Calibri"/>
          <w:color w:val="000000"/>
          <w:lang w:eastAsia="pl-PL"/>
        </w:rPr>
        <w:t>,</w:t>
      </w:r>
    </w:p>
    <w:p w14:paraId="75FD57B9"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34B85">
        <w:rPr>
          <w:rFonts w:ascii="Calibri" w:eastAsia="Times New Roman" w:hAnsi="Calibri" w:cs="Calibri"/>
          <w:color w:val="000000"/>
          <w:lang w:eastAsia="pl-PL"/>
        </w:rPr>
        <w:t xml:space="preserve">opracowanie wniosków z </w:t>
      </w:r>
      <w:r>
        <w:rPr>
          <w:rFonts w:ascii="Calibri" w:eastAsia="Times New Roman" w:hAnsi="Calibri" w:cs="Calibri"/>
          <w:color w:val="000000"/>
          <w:lang w:eastAsia="pl-PL"/>
        </w:rPr>
        <w:t xml:space="preserve">obsłużonego </w:t>
      </w:r>
      <w:r w:rsidRPr="00534B85">
        <w:rPr>
          <w:rFonts w:ascii="Calibri" w:eastAsia="Times New Roman" w:hAnsi="Calibri" w:cs="Calibri"/>
          <w:color w:val="000000"/>
          <w:lang w:eastAsia="pl-PL"/>
        </w:rPr>
        <w:t>incydentu, mających na celu ograniczenie możliwości</w:t>
      </w:r>
      <w:r>
        <w:rPr>
          <w:rFonts w:ascii="Calibri" w:eastAsia="Times New Roman" w:hAnsi="Calibri" w:cs="Calibri"/>
          <w:color w:val="000000"/>
          <w:lang w:eastAsia="pl-PL"/>
        </w:rPr>
        <w:t xml:space="preserve"> </w:t>
      </w:r>
      <w:r w:rsidRPr="00534B85">
        <w:rPr>
          <w:rFonts w:ascii="Calibri" w:eastAsia="Times New Roman" w:hAnsi="Calibri" w:cs="Calibri"/>
          <w:color w:val="000000"/>
          <w:lang w:eastAsia="pl-PL"/>
        </w:rPr>
        <w:t>powtórzenia się danego typu incydentu w przyszłości</w:t>
      </w:r>
      <w:r>
        <w:rPr>
          <w:rFonts w:ascii="Calibri" w:eastAsia="Times New Roman" w:hAnsi="Calibri" w:cs="Calibri"/>
          <w:color w:val="000000"/>
          <w:lang w:eastAsia="pl-PL"/>
        </w:rPr>
        <w:t>,</w:t>
      </w:r>
    </w:p>
    <w:p w14:paraId="131B40B5"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34B85">
        <w:rPr>
          <w:rFonts w:ascii="Calibri" w:eastAsia="Times New Roman" w:hAnsi="Calibri" w:cs="Calibri"/>
          <w:color w:val="000000"/>
          <w:lang w:eastAsia="pl-PL"/>
        </w:rPr>
        <w:t xml:space="preserve">przygotowanie planu działania w celu ograniczenia strat związanych z incydentem, </w:t>
      </w:r>
      <w:r>
        <w:rPr>
          <w:rFonts w:ascii="Calibri" w:eastAsia="Times New Roman" w:hAnsi="Calibri" w:cs="Calibri"/>
          <w:color w:val="000000"/>
          <w:lang w:eastAsia="pl-PL"/>
        </w:rPr>
        <w:t xml:space="preserve">w tym </w:t>
      </w:r>
      <w:r w:rsidRPr="00534B85">
        <w:rPr>
          <w:rFonts w:ascii="Calibri" w:eastAsia="Times New Roman" w:hAnsi="Calibri" w:cs="Calibri"/>
          <w:color w:val="000000"/>
          <w:lang w:eastAsia="pl-PL"/>
        </w:rPr>
        <w:t xml:space="preserve">pozyskanie dodatkowych danych niezbędnych do obsługi </w:t>
      </w:r>
      <w:r w:rsidRPr="00534B85">
        <w:rPr>
          <w:rFonts w:ascii="Calibri" w:eastAsia="Times New Roman" w:hAnsi="Calibri" w:cs="Calibri"/>
          <w:color w:val="000000"/>
          <w:lang w:eastAsia="pl-PL"/>
        </w:rPr>
        <w:lastRenderedPageBreak/>
        <w:t>incydentu (z logów</w:t>
      </w:r>
      <w:r>
        <w:rPr>
          <w:rFonts w:ascii="Calibri" w:eastAsia="Times New Roman" w:hAnsi="Calibri" w:cs="Calibri"/>
          <w:color w:val="000000"/>
          <w:lang w:eastAsia="pl-PL"/>
        </w:rPr>
        <w:t xml:space="preserve"> </w:t>
      </w:r>
      <w:r w:rsidRPr="00534B85">
        <w:rPr>
          <w:rFonts w:ascii="Calibri" w:eastAsia="Times New Roman" w:hAnsi="Calibri" w:cs="Calibri"/>
          <w:color w:val="000000"/>
          <w:lang w:eastAsia="pl-PL"/>
        </w:rPr>
        <w:t xml:space="preserve">systemowych, ze źródeł zewnętrznych, takich jak CSIRT, </w:t>
      </w:r>
      <w:r>
        <w:rPr>
          <w:rFonts w:ascii="Calibri" w:eastAsia="Times New Roman" w:hAnsi="Calibri" w:cs="Calibri"/>
          <w:color w:val="000000"/>
          <w:lang w:eastAsia="pl-PL"/>
        </w:rPr>
        <w:t xml:space="preserve">od </w:t>
      </w:r>
      <w:r w:rsidRPr="00534B85">
        <w:rPr>
          <w:rFonts w:ascii="Calibri" w:eastAsia="Times New Roman" w:hAnsi="Calibri" w:cs="Calibri"/>
          <w:color w:val="000000"/>
          <w:lang w:eastAsia="pl-PL"/>
        </w:rPr>
        <w:t>użytkowników i innych),</w:t>
      </w:r>
    </w:p>
    <w:p w14:paraId="178E13D5"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34B85">
        <w:rPr>
          <w:rFonts w:ascii="Calibri" w:eastAsia="Times New Roman" w:hAnsi="Calibri" w:cs="Calibri"/>
          <w:color w:val="000000"/>
          <w:lang w:eastAsia="pl-PL"/>
        </w:rPr>
        <w:t xml:space="preserve">proponowanie nowych reguł korelacyjnych i scenariuszy SIEM </w:t>
      </w:r>
      <w:r>
        <w:rPr>
          <w:rFonts w:ascii="Calibri" w:eastAsia="Times New Roman" w:hAnsi="Calibri" w:cs="Calibri"/>
          <w:color w:val="000000"/>
          <w:lang w:eastAsia="pl-PL"/>
        </w:rPr>
        <w:t>oraz</w:t>
      </w:r>
      <w:r w:rsidRPr="00534B85">
        <w:rPr>
          <w:rFonts w:ascii="Calibri" w:eastAsia="Times New Roman" w:hAnsi="Calibri" w:cs="Calibri"/>
          <w:color w:val="000000"/>
          <w:lang w:eastAsia="pl-PL"/>
        </w:rPr>
        <w:t xml:space="preserve"> propozycje optymalizacji aktualnie działających</w:t>
      </w:r>
      <w:r>
        <w:rPr>
          <w:rFonts w:ascii="Calibri" w:eastAsia="Times New Roman" w:hAnsi="Calibri" w:cs="Calibri"/>
          <w:color w:val="000000"/>
          <w:lang w:eastAsia="pl-PL"/>
        </w:rPr>
        <w:t xml:space="preserve"> </w:t>
      </w:r>
      <w:r w:rsidRPr="00534B85">
        <w:rPr>
          <w:rFonts w:ascii="Calibri" w:eastAsia="Times New Roman" w:hAnsi="Calibri" w:cs="Calibri"/>
          <w:color w:val="000000"/>
          <w:lang w:eastAsia="pl-PL"/>
        </w:rPr>
        <w:t>scenariuszy bezpieczeństwa,</w:t>
      </w:r>
    </w:p>
    <w:p w14:paraId="409B8F12"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rsidRPr="00534B85">
        <w:rPr>
          <w:rFonts w:ascii="Calibri" w:eastAsia="Times New Roman" w:hAnsi="Calibri" w:cs="Calibri"/>
          <w:color w:val="000000"/>
          <w:lang w:eastAsia="pl-PL"/>
        </w:rPr>
        <w:t>proponowanie rozszerzenia zakresu monitorowania o kolejne systemy teleinformatyczne</w:t>
      </w:r>
      <w:r>
        <w:rPr>
          <w:rFonts w:ascii="Calibri" w:eastAsia="Times New Roman" w:hAnsi="Calibri" w:cs="Calibri"/>
          <w:color w:val="000000"/>
          <w:lang w:eastAsia="pl-PL"/>
        </w:rPr>
        <w:t xml:space="preserve"> </w:t>
      </w:r>
      <w:r w:rsidRPr="00534B85">
        <w:rPr>
          <w:rFonts w:ascii="Calibri" w:eastAsia="Times New Roman" w:hAnsi="Calibri" w:cs="Calibri"/>
          <w:color w:val="000000"/>
          <w:lang w:eastAsia="pl-PL"/>
        </w:rPr>
        <w:t>Zamawiającego, przygotowywanie raportów dla Zamawiającego i jego dostawców</w:t>
      </w:r>
      <w:r>
        <w:rPr>
          <w:rFonts w:ascii="Calibri" w:eastAsia="Times New Roman" w:hAnsi="Calibri" w:cs="Calibri"/>
          <w:color w:val="000000"/>
          <w:lang w:eastAsia="pl-PL"/>
        </w:rPr>
        <w:t>.</w:t>
      </w:r>
    </w:p>
    <w:p w14:paraId="2ACC8453" w14:textId="77777777" w:rsidR="000D7E73" w:rsidRDefault="000D7E73" w:rsidP="000D7E73">
      <w:pPr>
        <w:pStyle w:val="Akapitzlist"/>
        <w:numPr>
          <w:ilvl w:val="0"/>
          <w:numId w:val="3"/>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Raportowanie:</w:t>
      </w:r>
    </w:p>
    <w:p w14:paraId="02FD3561" w14:textId="77777777" w:rsidR="000D7E73" w:rsidRPr="00652E89" w:rsidRDefault="000D7E73" w:rsidP="000D7E73">
      <w:pPr>
        <w:pStyle w:val="Akapitzlist"/>
        <w:numPr>
          <w:ilvl w:val="1"/>
          <w:numId w:val="3"/>
        </w:numPr>
        <w:rPr>
          <w:rFonts w:ascii="Calibri" w:eastAsia="Times New Roman" w:hAnsi="Calibri" w:cs="Calibri"/>
          <w:color w:val="000000"/>
          <w:lang w:eastAsia="pl-PL"/>
        </w:rPr>
      </w:pPr>
      <w:r>
        <w:t>każdorazowo przy wystąpieniu incydentu – raport zawierający co najmniej: opis incydentu, wpływ na środowisko Zamawiającego, zastosowane i rekomendowane sposoby mitygacji</w:t>
      </w:r>
      <w:r w:rsidRPr="00652E89">
        <w:rPr>
          <w:rFonts w:ascii="Calibri" w:eastAsia="Times New Roman" w:hAnsi="Calibri" w:cs="Calibri"/>
          <w:color w:val="000000"/>
          <w:lang w:eastAsia="pl-PL"/>
        </w:rPr>
        <w:t>,</w:t>
      </w:r>
    </w:p>
    <w:p w14:paraId="46F579D1" w14:textId="77777777" w:rsidR="000D7E73" w:rsidRPr="00652E89" w:rsidRDefault="000D7E73" w:rsidP="000D7E73">
      <w:pPr>
        <w:pStyle w:val="Akapitzlist"/>
        <w:numPr>
          <w:ilvl w:val="1"/>
          <w:numId w:val="3"/>
        </w:numPr>
        <w:rPr>
          <w:rFonts w:ascii="Calibri" w:eastAsia="Times New Roman" w:hAnsi="Calibri" w:cs="Calibri"/>
          <w:color w:val="000000"/>
          <w:lang w:eastAsia="pl-PL"/>
        </w:rPr>
      </w:pPr>
      <w:r>
        <w:t>miesięczny raport w zakresie wykonywanej usługi, zawierający listę zaobserwowanych zdarzeń w podziale na kategorie (np. DDoS, ransomware, phishing, brute-force itp.) oraz informacje o wykorzystanych zabezpieczeniach</w:t>
      </w:r>
      <w:r w:rsidRPr="00652E89">
        <w:rPr>
          <w:rFonts w:ascii="Calibri" w:eastAsia="Times New Roman" w:hAnsi="Calibri" w:cs="Calibri"/>
          <w:color w:val="000000"/>
          <w:lang w:eastAsia="pl-PL"/>
        </w:rPr>
        <w:t>,</w:t>
      </w:r>
    </w:p>
    <w:p w14:paraId="524F2DE1" w14:textId="77777777" w:rsidR="000D7E73" w:rsidRDefault="000D7E73" w:rsidP="000D7E73">
      <w:pPr>
        <w:pStyle w:val="Akapitzlist"/>
        <w:numPr>
          <w:ilvl w:val="1"/>
          <w:numId w:val="3"/>
        </w:numPr>
        <w:spacing w:after="0" w:line="240" w:lineRule="auto"/>
        <w:rPr>
          <w:rFonts w:ascii="Calibri" w:eastAsia="Times New Roman" w:hAnsi="Calibri" w:cs="Calibri"/>
          <w:color w:val="000000"/>
          <w:lang w:eastAsia="pl-PL"/>
        </w:rPr>
      </w:pPr>
      <w:r>
        <w:t>miesięczny raport zawierający informacje o stosunku zdarzeń będących fałszywymi alertami do alertów prawidłowych (false positive vs true positive) z każdej reguły korelacyjnej wraz z rekomendacjami ewentualnych zmian.</w:t>
      </w:r>
    </w:p>
    <w:p w14:paraId="429FF13F" w14:textId="77777777" w:rsidR="000D7E73" w:rsidRDefault="000D7E73" w:rsidP="000D7E73">
      <w:pPr>
        <w:pStyle w:val="Akapitzlist"/>
        <w:numPr>
          <w:ilvl w:val="0"/>
          <w:numId w:val="3"/>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 W</w:t>
      </w:r>
      <w:r w:rsidRPr="00652E89">
        <w:rPr>
          <w:rFonts w:ascii="Calibri" w:eastAsia="Times New Roman" w:hAnsi="Calibri" w:cs="Calibri"/>
          <w:color w:val="000000"/>
          <w:lang w:eastAsia="pl-PL"/>
        </w:rPr>
        <w:t xml:space="preserve"> przypadku konieczności zwiększenia wartości umowy aneksem, koszt roboczogodziny</w:t>
      </w:r>
      <w:r>
        <w:rPr>
          <w:rFonts w:ascii="Calibri" w:eastAsia="Times New Roman" w:hAnsi="Calibri" w:cs="Calibri"/>
          <w:color w:val="000000"/>
          <w:lang w:eastAsia="pl-PL"/>
        </w:rPr>
        <w:t xml:space="preserve"> </w:t>
      </w:r>
      <w:r w:rsidRPr="00652E89">
        <w:rPr>
          <w:rFonts w:ascii="Calibri" w:eastAsia="Times New Roman" w:hAnsi="Calibri" w:cs="Calibri"/>
          <w:color w:val="000000"/>
          <w:lang w:eastAsia="pl-PL"/>
        </w:rPr>
        <w:t>będzie ustalony na podstawie formularza ofertowego</w:t>
      </w:r>
      <w:r>
        <w:rPr>
          <w:rFonts w:ascii="Calibri" w:eastAsia="Times New Roman" w:hAnsi="Calibri" w:cs="Calibri"/>
          <w:color w:val="000000"/>
          <w:lang w:eastAsia="pl-PL"/>
        </w:rPr>
        <w:t xml:space="preserve"> Wykonawcy.</w:t>
      </w:r>
    </w:p>
    <w:p w14:paraId="0CF6D5EE" w14:textId="77777777" w:rsidR="000D7E73" w:rsidRDefault="000D7E73" w:rsidP="000D7E73">
      <w:pPr>
        <w:pStyle w:val="Akapitzlist"/>
        <w:spacing w:after="0" w:line="240" w:lineRule="auto"/>
        <w:ind w:left="1068"/>
        <w:rPr>
          <w:rFonts w:ascii="Calibri" w:eastAsia="Times New Roman" w:hAnsi="Calibri" w:cs="Calibri"/>
          <w:color w:val="000000"/>
          <w:lang w:eastAsia="pl-PL"/>
        </w:rPr>
      </w:pPr>
    </w:p>
    <w:p w14:paraId="7479CF58" w14:textId="77777777" w:rsidR="000D7E73" w:rsidRPr="008A6425" w:rsidRDefault="000D7E73" w:rsidP="000D7E73">
      <w:pPr>
        <w:pStyle w:val="Akapitzlist"/>
        <w:numPr>
          <w:ilvl w:val="0"/>
          <w:numId w:val="5"/>
        </w:numPr>
        <w:spacing w:after="0" w:line="240" w:lineRule="auto"/>
        <w:rPr>
          <w:rFonts w:ascii="Calibri" w:eastAsia="Times New Roman" w:hAnsi="Calibri" w:cs="Calibri"/>
          <w:color w:val="000000"/>
          <w:lang w:eastAsia="pl-PL"/>
        </w:rPr>
      </w:pPr>
      <w:r w:rsidRPr="008A6425">
        <w:rPr>
          <w:rFonts w:ascii="Calibri" w:eastAsia="Times New Roman" w:hAnsi="Calibri" w:cs="Calibri"/>
          <w:color w:val="000000"/>
          <w:lang w:eastAsia="pl-PL"/>
        </w:rPr>
        <w:t>Wymagania w zakresie uruchomienia i utrzymania systemów SIEM</w:t>
      </w:r>
    </w:p>
    <w:p w14:paraId="0014528B" w14:textId="77777777" w:rsidR="000D7E73" w:rsidRDefault="000D7E73" w:rsidP="000D7E73">
      <w:pPr>
        <w:pStyle w:val="Akapitzlist"/>
        <w:numPr>
          <w:ilvl w:val="1"/>
          <w:numId w:val="4"/>
        </w:numPr>
        <w:spacing w:after="0" w:line="240" w:lineRule="auto"/>
        <w:rPr>
          <w:rFonts w:ascii="Calibri" w:eastAsia="Times New Roman" w:hAnsi="Calibri" w:cs="Calibri"/>
          <w:color w:val="000000"/>
          <w:lang w:eastAsia="pl-PL"/>
        </w:rPr>
      </w:pPr>
      <w:r>
        <w:t>Wdrożone systemy SIEM muszą być produktami ogólnie znanymi oraz wykorzystywanymi w obszarze cyberbezpieczeństwa; dopuszcza się wykorzystanie rozwiązań typu open source.</w:t>
      </w:r>
    </w:p>
    <w:p w14:paraId="26AF3D71" w14:textId="77777777" w:rsidR="000D7E73" w:rsidRDefault="000D7E73" w:rsidP="000D7E73">
      <w:pPr>
        <w:pStyle w:val="Akapitzlist"/>
        <w:numPr>
          <w:ilvl w:val="1"/>
          <w:numId w:val="4"/>
        </w:numPr>
        <w:spacing w:after="0" w:line="240" w:lineRule="auto"/>
        <w:ind w:left="1416"/>
        <w:rPr>
          <w:rFonts w:ascii="Calibri" w:eastAsia="Times New Roman" w:hAnsi="Calibri" w:cs="Calibri"/>
          <w:color w:val="000000"/>
          <w:lang w:eastAsia="pl-PL"/>
        </w:rPr>
      </w:pPr>
      <w:r>
        <w:t>W przypadku wykorzystania rozwiązań płatnych Wykonawca jest zobowiązany dostarczyć/posiadać wszystkie niezbędne licencje do uruchomienia systemów SIEM, pozwalające na świadczenie usług przez cały okres trwania umowy, w tym licencje na bazę danych i inne licencje niezbędne do poprawnego działania rozwiązania.</w:t>
      </w:r>
    </w:p>
    <w:p w14:paraId="2BD4F291" w14:textId="77777777" w:rsidR="000D7E73" w:rsidRDefault="000D7E73" w:rsidP="000D7E73">
      <w:pPr>
        <w:pStyle w:val="Akapitzlist"/>
        <w:numPr>
          <w:ilvl w:val="1"/>
          <w:numId w:val="4"/>
        </w:numPr>
        <w:spacing w:after="0" w:line="240" w:lineRule="auto"/>
        <w:rPr>
          <w:rFonts w:ascii="Calibri" w:eastAsia="Times New Roman" w:hAnsi="Calibri" w:cs="Calibri"/>
          <w:color w:val="000000"/>
          <w:lang w:eastAsia="pl-PL"/>
        </w:rPr>
      </w:pPr>
      <w:r>
        <w:t xml:space="preserve">W przypadku licencji czasowych, po zakończeniu umowy Zamawiający powinien mieć możliwość pozyskania licencji na zaproponowany system SIEM na wolnym rynku (od innego dostawcy). W </w:t>
      </w:r>
      <w:proofErr w:type="gramStart"/>
      <w:r>
        <w:t>przypadku</w:t>
      </w:r>
      <w:proofErr w:type="gramEnd"/>
      <w:r>
        <w:t xml:space="preserve"> gdyby podczas zbliżania się końca umowy systemy lub ich elementy nie były dostępne na rynku, Wykonawca zobowiązuje się do zaproponowania innego rozwiązania dostępnego na rynku i spełniającego wymagania niniejszego OPZ.</w:t>
      </w:r>
    </w:p>
    <w:p w14:paraId="236A75FA" w14:textId="77777777" w:rsidR="000D7E73" w:rsidRDefault="000D7E73" w:rsidP="000D7E73">
      <w:pPr>
        <w:pStyle w:val="Akapitzlist"/>
        <w:numPr>
          <w:ilvl w:val="1"/>
          <w:numId w:val="4"/>
        </w:numPr>
        <w:spacing w:after="0" w:line="240" w:lineRule="auto"/>
        <w:rPr>
          <w:rFonts w:ascii="Calibri" w:eastAsia="Times New Roman" w:hAnsi="Calibri" w:cs="Calibri"/>
          <w:color w:val="000000"/>
          <w:lang w:eastAsia="pl-PL"/>
        </w:rPr>
      </w:pPr>
      <w:r>
        <w:t>Systemy SIEM muszą umożliwiać autoryzację użytkowników oraz precyzyjne nadawanie uprawnień dla administratorów i użytkowników oraz zapewniać pełną ich rozliczalność, co najmniej w zakresie: logowanie/wylogowanie, zmiana konfiguracji systemu, wykonane akcje. Zamawiający oczekuje dostępu co najmniej w trybie read-only do systemów.</w:t>
      </w:r>
    </w:p>
    <w:p w14:paraId="463CAE5E" w14:textId="77777777" w:rsidR="000D7E73" w:rsidRPr="00010D5A" w:rsidRDefault="000D7E73" w:rsidP="000D7E73">
      <w:pPr>
        <w:pStyle w:val="Akapitzlist"/>
        <w:numPr>
          <w:ilvl w:val="1"/>
          <w:numId w:val="4"/>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w:t>
      </w:r>
      <w:r w:rsidRPr="00010D5A">
        <w:rPr>
          <w:rFonts w:ascii="Calibri" w:eastAsia="Times New Roman" w:hAnsi="Calibri" w:cs="Calibri"/>
          <w:color w:val="000000"/>
          <w:lang w:eastAsia="pl-PL"/>
        </w:rPr>
        <w:t>ystem SIEM powinien:</w:t>
      </w:r>
    </w:p>
    <w:p w14:paraId="20FA2EFB" w14:textId="77777777" w:rsidR="000D7E73" w:rsidRPr="00154492" w:rsidRDefault="000D7E73" w:rsidP="000D7E73">
      <w:pPr>
        <w:pStyle w:val="Akapitzlist"/>
        <w:numPr>
          <w:ilvl w:val="2"/>
          <w:numId w:val="4"/>
        </w:numPr>
        <w:spacing w:after="0" w:line="240" w:lineRule="auto"/>
        <w:rPr>
          <w:rFonts w:ascii="Calibri" w:eastAsia="Times New Roman" w:hAnsi="Calibri" w:cs="Calibri"/>
          <w:color w:val="000000"/>
          <w:lang w:eastAsia="pl-PL"/>
        </w:rPr>
      </w:pPr>
      <w:r w:rsidRPr="00154492">
        <w:rPr>
          <w:rFonts w:ascii="Calibri" w:eastAsia="Times New Roman" w:hAnsi="Calibri" w:cs="Calibri"/>
          <w:color w:val="000000"/>
          <w:lang w:eastAsia="pl-PL"/>
        </w:rPr>
        <w:t>pozw</w:t>
      </w:r>
      <w:r>
        <w:rPr>
          <w:rFonts w:ascii="Calibri" w:eastAsia="Times New Roman" w:hAnsi="Calibri" w:cs="Calibri"/>
          <w:color w:val="000000"/>
          <w:lang w:eastAsia="pl-PL"/>
        </w:rPr>
        <w:t>alać</w:t>
      </w:r>
      <w:r w:rsidRPr="00154492">
        <w:rPr>
          <w:rFonts w:ascii="Calibri" w:eastAsia="Times New Roman" w:hAnsi="Calibri" w:cs="Calibri"/>
          <w:color w:val="000000"/>
          <w:lang w:eastAsia="pl-PL"/>
        </w:rPr>
        <w:t xml:space="preserve"> na zbieranie logów z systemów Zamawiającego, w tym pozwolić na zbieranie</w:t>
      </w:r>
      <w:r>
        <w:rPr>
          <w:rFonts w:ascii="Calibri" w:eastAsia="Times New Roman" w:hAnsi="Calibri" w:cs="Calibri"/>
          <w:color w:val="000000"/>
          <w:lang w:eastAsia="pl-PL"/>
        </w:rPr>
        <w:t xml:space="preserve"> </w:t>
      </w:r>
      <w:r w:rsidRPr="00154492">
        <w:rPr>
          <w:rFonts w:ascii="Calibri" w:eastAsia="Times New Roman" w:hAnsi="Calibri" w:cs="Calibri"/>
          <w:color w:val="000000"/>
          <w:lang w:eastAsia="pl-PL"/>
        </w:rPr>
        <w:t xml:space="preserve">informacji z końcówek i systemów EDR, w szczególności </w:t>
      </w:r>
      <w:r>
        <w:rPr>
          <w:rFonts w:ascii="Calibri" w:eastAsia="Times New Roman" w:hAnsi="Calibri" w:cs="Calibri"/>
          <w:color w:val="000000"/>
          <w:lang w:eastAsia="pl-PL"/>
        </w:rPr>
        <w:t>T</w:t>
      </w:r>
      <w:r w:rsidRPr="00154492">
        <w:rPr>
          <w:rFonts w:ascii="Calibri" w:eastAsia="Times New Roman" w:hAnsi="Calibri" w:cs="Calibri"/>
          <w:color w:val="000000"/>
          <w:lang w:eastAsia="pl-PL"/>
        </w:rPr>
        <w:t>rendmicro</w:t>
      </w:r>
      <w:r>
        <w:rPr>
          <w:rFonts w:ascii="Calibri" w:eastAsia="Times New Roman" w:hAnsi="Calibri" w:cs="Calibri"/>
          <w:color w:val="000000"/>
          <w:lang w:eastAsia="pl-PL"/>
        </w:rPr>
        <w:t xml:space="preserve"> </w:t>
      </w:r>
      <w:r w:rsidRPr="00154492">
        <w:rPr>
          <w:rFonts w:ascii="Calibri" w:eastAsia="Times New Roman" w:hAnsi="Calibri" w:cs="Calibri"/>
          <w:color w:val="000000"/>
          <w:lang w:eastAsia="pl-PL"/>
        </w:rPr>
        <w:t xml:space="preserve">oraz z urządzeń </w:t>
      </w:r>
      <w:r>
        <w:rPr>
          <w:rFonts w:ascii="Calibri" w:eastAsia="Times New Roman" w:hAnsi="Calibri" w:cs="Calibri"/>
          <w:color w:val="000000"/>
          <w:lang w:eastAsia="pl-PL"/>
        </w:rPr>
        <w:t>sieciowych</w:t>
      </w:r>
      <w:r w:rsidRPr="00154492">
        <w:rPr>
          <w:rFonts w:ascii="Calibri" w:eastAsia="Times New Roman" w:hAnsi="Calibri" w:cs="Calibri"/>
          <w:color w:val="000000"/>
          <w:lang w:eastAsia="pl-PL"/>
        </w:rPr>
        <w:t>,</w:t>
      </w:r>
      <w:r>
        <w:rPr>
          <w:rFonts w:ascii="Calibri" w:eastAsia="Times New Roman" w:hAnsi="Calibri" w:cs="Calibri"/>
          <w:color w:val="000000"/>
          <w:lang w:eastAsia="pl-PL"/>
        </w:rPr>
        <w:t xml:space="preserve"> </w:t>
      </w:r>
      <w:r w:rsidRPr="00154492">
        <w:rPr>
          <w:rFonts w:ascii="Calibri" w:eastAsia="Times New Roman" w:hAnsi="Calibri" w:cs="Calibri"/>
          <w:color w:val="000000"/>
          <w:lang w:eastAsia="pl-PL"/>
        </w:rPr>
        <w:t>w szczególności Cisco/Fortinet</w:t>
      </w:r>
      <w:r>
        <w:rPr>
          <w:rFonts w:ascii="Calibri" w:eastAsia="Times New Roman" w:hAnsi="Calibri" w:cs="Calibri"/>
          <w:color w:val="000000"/>
          <w:lang w:eastAsia="pl-PL"/>
        </w:rPr>
        <w:t>,</w:t>
      </w:r>
    </w:p>
    <w:p w14:paraId="38E91D10" w14:textId="77777777" w:rsidR="000D7E73" w:rsidRPr="00154492" w:rsidRDefault="000D7E73" w:rsidP="000D7E73">
      <w:pPr>
        <w:pStyle w:val="Akapitzlist"/>
        <w:numPr>
          <w:ilvl w:val="2"/>
          <w:numId w:val="4"/>
        </w:numPr>
        <w:spacing w:after="0" w:line="240" w:lineRule="auto"/>
        <w:rPr>
          <w:rFonts w:ascii="Calibri" w:eastAsia="Times New Roman" w:hAnsi="Calibri" w:cs="Calibri"/>
          <w:color w:val="000000"/>
          <w:lang w:eastAsia="pl-PL"/>
        </w:rPr>
      </w:pPr>
      <w:r w:rsidRPr="00154492">
        <w:rPr>
          <w:rFonts w:ascii="Calibri" w:eastAsia="Times New Roman" w:hAnsi="Calibri" w:cs="Calibri"/>
          <w:color w:val="000000"/>
          <w:lang w:eastAsia="pl-PL"/>
        </w:rPr>
        <w:t>umożliwiać liczbę równocześnie zalogowanych operatorów/użytkowników bez ograniczeń</w:t>
      </w:r>
      <w:r>
        <w:rPr>
          <w:rFonts w:ascii="Calibri" w:eastAsia="Times New Roman" w:hAnsi="Calibri" w:cs="Calibri"/>
          <w:color w:val="000000"/>
          <w:lang w:eastAsia="pl-PL"/>
        </w:rPr>
        <w:t>,</w:t>
      </w:r>
    </w:p>
    <w:p w14:paraId="620CCC65" w14:textId="77777777" w:rsidR="000D7E73" w:rsidRPr="00154492" w:rsidRDefault="000D7E73" w:rsidP="000D7E73">
      <w:pPr>
        <w:pStyle w:val="Akapitzlist"/>
        <w:numPr>
          <w:ilvl w:val="2"/>
          <w:numId w:val="4"/>
        </w:numPr>
        <w:spacing w:after="0" w:line="240" w:lineRule="auto"/>
        <w:rPr>
          <w:rFonts w:ascii="Calibri" w:eastAsia="Times New Roman" w:hAnsi="Calibri" w:cs="Calibri"/>
          <w:color w:val="000000"/>
          <w:lang w:eastAsia="pl-PL"/>
        </w:rPr>
      </w:pPr>
      <w:r w:rsidRPr="00154492">
        <w:rPr>
          <w:rFonts w:ascii="Calibri" w:eastAsia="Times New Roman" w:hAnsi="Calibri" w:cs="Calibri"/>
          <w:color w:val="000000"/>
          <w:lang w:eastAsia="pl-PL"/>
        </w:rPr>
        <w:t xml:space="preserve">posiadać zaimplementowane mechanizmy automatycznej kontroli własnego stanu oraz alarmowania w przypadku wykrytych nieprawidłowości (ang. </w:t>
      </w:r>
      <w:r>
        <w:rPr>
          <w:rFonts w:ascii="Calibri" w:eastAsia="Times New Roman" w:hAnsi="Calibri" w:cs="Calibri"/>
          <w:color w:val="000000"/>
          <w:lang w:eastAsia="pl-PL"/>
        </w:rPr>
        <w:t>h</w:t>
      </w:r>
      <w:r w:rsidRPr="00154492">
        <w:rPr>
          <w:rFonts w:ascii="Calibri" w:eastAsia="Times New Roman" w:hAnsi="Calibri" w:cs="Calibri"/>
          <w:color w:val="000000"/>
          <w:lang w:eastAsia="pl-PL"/>
        </w:rPr>
        <w:t>ealt</w:t>
      </w:r>
      <w:r>
        <w:rPr>
          <w:rFonts w:ascii="Calibri" w:eastAsia="Times New Roman" w:hAnsi="Calibri" w:cs="Calibri"/>
          <w:color w:val="000000"/>
          <w:lang w:eastAsia="pl-PL"/>
        </w:rPr>
        <w:t>-</w:t>
      </w:r>
      <w:r w:rsidRPr="00154492">
        <w:rPr>
          <w:rFonts w:ascii="Calibri" w:eastAsia="Times New Roman" w:hAnsi="Calibri" w:cs="Calibri"/>
          <w:color w:val="000000"/>
          <w:lang w:eastAsia="pl-PL"/>
        </w:rPr>
        <w:t>hcheck)</w:t>
      </w:r>
      <w:r>
        <w:rPr>
          <w:rFonts w:ascii="Calibri" w:eastAsia="Times New Roman" w:hAnsi="Calibri" w:cs="Calibri"/>
          <w:color w:val="000000"/>
          <w:lang w:eastAsia="pl-PL"/>
        </w:rPr>
        <w:t>,</w:t>
      </w:r>
    </w:p>
    <w:p w14:paraId="200A39E0" w14:textId="77777777" w:rsidR="000D7E73" w:rsidRPr="00154492" w:rsidRDefault="000D7E73" w:rsidP="000D7E73">
      <w:pPr>
        <w:pStyle w:val="Akapitzlist"/>
        <w:numPr>
          <w:ilvl w:val="2"/>
          <w:numId w:val="4"/>
        </w:numPr>
        <w:spacing w:after="0" w:line="240" w:lineRule="auto"/>
        <w:rPr>
          <w:rFonts w:ascii="Calibri" w:eastAsia="Times New Roman" w:hAnsi="Calibri" w:cs="Calibri"/>
          <w:color w:val="000000"/>
          <w:lang w:eastAsia="pl-PL"/>
        </w:rPr>
      </w:pPr>
      <w:r w:rsidRPr="00154492">
        <w:rPr>
          <w:rFonts w:ascii="Calibri" w:eastAsia="Times New Roman" w:hAnsi="Calibri" w:cs="Calibri"/>
          <w:color w:val="000000"/>
          <w:lang w:eastAsia="pl-PL"/>
        </w:rPr>
        <w:t>umożliwiać uwierzytelnienie oraz szyfrowanie połączenia między wszystkimi komponentami systemu</w:t>
      </w:r>
      <w:r>
        <w:rPr>
          <w:rFonts w:ascii="Calibri" w:eastAsia="Times New Roman" w:hAnsi="Calibri" w:cs="Calibri"/>
          <w:color w:val="000000"/>
          <w:lang w:eastAsia="pl-PL"/>
        </w:rPr>
        <w:t>,</w:t>
      </w:r>
    </w:p>
    <w:p w14:paraId="435B1187" w14:textId="77777777" w:rsidR="000D7E73" w:rsidRDefault="000D7E73" w:rsidP="000D7E73">
      <w:pPr>
        <w:pStyle w:val="Akapitzlist"/>
        <w:numPr>
          <w:ilvl w:val="2"/>
          <w:numId w:val="4"/>
        </w:numPr>
        <w:spacing w:after="0" w:line="240" w:lineRule="auto"/>
        <w:rPr>
          <w:rFonts w:ascii="Calibri" w:eastAsia="Times New Roman" w:hAnsi="Calibri" w:cs="Calibri"/>
          <w:color w:val="000000"/>
          <w:lang w:eastAsia="pl-PL"/>
        </w:rPr>
      </w:pPr>
      <w:r w:rsidRPr="00154492">
        <w:rPr>
          <w:rFonts w:ascii="Calibri" w:eastAsia="Times New Roman" w:hAnsi="Calibri" w:cs="Calibri"/>
          <w:color w:val="000000"/>
          <w:lang w:eastAsia="pl-PL"/>
        </w:rPr>
        <w:lastRenderedPageBreak/>
        <w:t>umożliwiać budowanie profili aktywności użytkowników oraz zasobów IT poprzez słowniki referencyjne i wykorzystywać je w regułach korelacyjnych i raportowaniu</w:t>
      </w:r>
      <w:r>
        <w:rPr>
          <w:rFonts w:ascii="Calibri" w:eastAsia="Times New Roman" w:hAnsi="Calibri" w:cs="Calibri"/>
          <w:color w:val="000000"/>
          <w:lang w:eastAsia="pl-PL"/>
        </w:rPr>
        <w:t>.</w:t>
      </w:r>
    </w:p>
    <w:p w14:paraId="17BC4901" w14:textId="77777777" w:rsidR="000D7E73" w:rsidRPr="00154492" w:rsidRDefault="000D7E73" w:rsidP="000D7E73">
      <w:pPr>
        <w:pStyle w:val="Akapitzlist"/>
        <w:spacing w:after="0" w:line="240" w:lineRule="auto"/>
        <w:ind w:left="2340"/>
        <w:rPr>
          <w:rFonts w:ascii="Calibri" w:eastAsia="Times New Roman" w:hAnsi="Calibri" w:cs="Calibri"/>
          <w:color w:val="000000"/>
          <w:lang w:eastAsia="pl-PL"/>
        </w:rPr>
      </w:pPr>
    </w:p>
    <w:p w14:paraId="2D49607D" w14:textId="77777777" w:rsidR="000D7E73" w:rsidRDefault="000D7E73" w:rsidP="000D7E73">
      <w:pPr>
        <w:pStyle w:val="Akapitzlist"/>
        <w:numPr>
          <w:ilvl w:val="1"/>
          <w:numId w:val="4"/>
        </w:numPr>
        <w:spacing w:after="0" w:line="240" w:lineRule="auto"/>
        <w:rPr>
          <w:rFonts w:ascii="Calibri" w:eastAsia="Times New Roman" w:hAnsi="Calibri" w:cs="Calibri"/>
          <w:color w:val="000000"/>
          <w:lang w:eastAsia="pl-PL"/>
        </w:rPr>
      </w:pPr>
      <w:r w:rsidRPr="00154492">
        <w:rPr>
          <w:rFonts w:ascii="Calibri" w:eastAsia="Times New Roman" w:hAnsi="Calibri" w:cs="Calibri"/>
          <w:color w:val="000000"/>
          <w:lang w:eastAsia="pl-PL"/>
        </w:rPr>
        <w:t xml:space="preserve">Wykonawca powinien dostosowywać na bieżąco reguły korelacyjne do zmieniającego się środowiska Zamawiającego, tak aby maksymalizować wykrywanie incydentów i minimalizować </w:t>
      </w:r>
      <w:r>
        <w:rPr>
          <w:rFonts w:ascii="Calibri" w:eastAsia="Times New Roman" w:hAnsi="Calibri" w:cs="Calibri"/>
          <w:color w:val="000000"/>
          <w:lang w:eastAsia="pl-PL"/>
        </w:rPr>
        <w:t>liczbę fałszywych alertów.</w:t>
      </w:r>
    </w:p>
    <w:p w14:paraId="73076CEE" w14:textId="77777777" w:rsidR="000D7E73" w:rsidRDefault="000D7E73" w:rsidP="000D7E73">
      <w:pPr>
        <w:pStyle w:val="Akapitzlist"/>
        <w:spacing w:after="0" w:line="240" w:lineRule="auto"/>
        <w:ind w:left="1440"/>
        <w:rPr>
          <w:rFonts w:ascii="Calibri" w:eastAsia="Times New Roman" w:hAnsi="Calibri" w:cs="Calibri"/>
          <w:color w:val="000000"/>
          <w:lang w:eastAsia="pl-PL"/>
        </w:rPr>
      </w:pPr>
    </w:p>
    <w:p w14:paraId="7EEAD846" w14:textId="77777777" w:rsidR="000D7E73" w:rsidRPr="0077243A" w:rsidRDefault="000D7E73" w:rsidP="000D7E73">
      <w:pPr>
        <w:pStyle w:val="Akapitzlist"/>
        <w:numPr>
          <w:ilvl w:val="0"/>
          <w:numId w:val="5"/>
        </w:numPr>
        <w:spacing w:after="0" w:line="240" w:lineRule="auto"/>
        <w:rPr>
          <w:rFonts w:ascii="Calibri" w:eastAsia="Times New Roman" w:hAnsi="Calibri" w:cs="Calibri"/>
          <w:color w:val="000000"/>
          <w:lang w:eastAsia="pl-PL"/>
        </w:rPr>
      </w:pPr>
      <w:r w:rsidRPr="0077243A">
        <w:rPr>
          <w:rFonts w:ascii="Calibri" w:eastAsia="Times New Roman" w:hAnsi="Calibri" w:cs="Calibri"/>
          <w:color w:val="000000"/>
          <w:lang w:eastAsia="pl-PL"/>
        </w:rPr>
        <w:t>Wymagania w zakresie uruchomienia i utrzymania systemu pełniącego rolę brokera komunikacyjnego</w:t>
      </w:r>
    </w:p>
    <w:p w14:paraId="1277F257" w14:textId="77777777" w:rsidR="000D7E73" w:rsidRPr="008A6425" w:rsidRDefault="000D7E73" w:rsidP="000D7E73">
      <w:pPr>
        <w:pStyle w:val="Akapitzlist"/>
        <w:numPr>
          <w:ilvl w:val="0"/>
          <w:numId w:val="6"/>
        </w:numPr>
        <w:spacing w:after="0" w:line="240" w:lineRule="auto"/>
        <w:rPr>
          <w:rFonts w:ascii="Calibri" w:eastAsia="Times New Roman" w:hAnsi="Calibri" w:cs="Calibri"/>
          <w:color w:val="000000"/>
          <w:lang w:eastAsia="pl-PL"/>
        </w:rPr>
      </w:pPr>
      <w:r w:rsidRPr="008A6425">
        <w:rPr>
          <w:rFonts w:ascii="Calibri" w:eastAsia="Times New Roman" w:hAnsi="Calibri" w:cs="Calibri"/>
          <w:color w:val="000000"/>
          <w:lang w:eastAsia="pl-PL"/>
        </w:rPr>
        <w:t>Wykonawca jest zobowiązany dostarczyć wszystkie niezbędne licencje do uruchomienia</w:t>
      </w:r>
      <w:r>
        <w:rPr>
          <w:rFonts w:ascii="Calibri" w:eastAsia="Times New Roman" w:hAnsi="Calibri" w:cs="Calibri"/>
          <w:color w:val="000000"/>
          <w:lang w:eastAsia="pl-PL"/>
        </w:rPr>
        <w:t xml:space="preserve"> </w:t>
      </w:r>
      <w:r w:rsidRPr="008A6425">
        <w:rPr>
          <w:rFonts w:ascii="Calibri" w:eastAsia="Times New Roman" w:hAnsi="Calibri" w:cs="Calibri"/>
          <w:color w:val="000000"/>
          <w:lang w:eastAsia="pl-PL"/>
        </w:rPr>
        <w:t>brokera</w:t>
      </w:r>
      <w:r>
        <w:rPr>
          <w:rFonts w:ascii="Calibri" w:eastAsia="Times New Roman" w:hAnsi="Calibri" w:cs="Calibri"/>
          <w:color w:val="000000"/>
          <w:lang w:eastAsia="pl-PL"/>
        </w:rPr>
        <w:t xml:space="preserve"> komunikacyjnego</w:t>
      </w:r>
      <w:r w:rsidRPr="008A6425">
        <w:rPr>
          <w:rFonts w:ascii="Calibri" w:eastAsia="Times New Roman" w:hAnsi="Calibri" w:cs="Calibri"/>
          <w:color w:val="000000"/>
          <w:lang w:eastAsia="pl-PL"/>
        </w:rPr>
        <w:t>, na czas trwania umowy, w tym licencje na bazę danych i inne niezbędne</w:t>
      </w:r>
      <w:r>
        <w:rPr>
          <w:rFonts w:ascii="Calibri" w:eastAsia="Times New Roman" w:hAnsi="Calibri" w:cs="Calibri"/>
          <w:color w:val="000000"/>
          <w:lang w:eastAsia="pl-PL"/>
        </w:rPr>
        <w:t xml:space="preserve"> komponenty.</w:t>
      </w:r>
    </w:p>
    <w:p w14:paraId="1E989F4B" w14:textId="77777777" w:rsidR="000D7E73" w:rsidRPr="0077243A" w:rsidRDefault="000D7E73" w:rsidP="000D7E73">
      <w:pPr>
        <w:pStyle w:val="Akapitzlist"/>
        <w:numPr>
          <w:ilvl w:val="0"/>
          <w:numId w:val="6"/>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w:t>
      </w:r>
      <w:r w:rsidRPr="0077243A">
        <w:rPr>
          <w:rFonts w:ascii="Calibri" w:eastAsia="Times New Roman" w:hAnsi="Calibri" w:cs="Calibri"/>
          <w:color w:val="000000"/>
          <w:lang w:eastAsia="pl-PL"/>
        </w:rPr>
        <w:t>o zakończeniu umowy Zamawiający powinien mieć możliwość pozyskania licencji</w:t>
      </w:r>
      <w:r>
        <w:rPr>
          <w:rFonts w:ascii="Calibri" w:eastAsia="Times New Roman" w:hAnsi="Calibri" w:cs="Calibri"/>
          <w:color w:val="000000"/>
          <w:lang w:eastAsia="pl-PL"/>
        </w:rPr>
        <w:t xml:space="preserve"> </w:t>
      </w:r>
      <w:r w:rsidRPr="0077243A">
        <w:rPr>
          <w:rFonts w:ascii="Calibri" w:eastAsia="Times New Roman" w:hAnsi="Calibri" w:cs="Calibri"/>
          <w:color w:val="000000"/>
          <w:lang w:eastAsia="pl-PL"/>
        </w:rPr>
        <w:t>na zaproponowanego brokera komunikacyjnego na wolnym rynku (od innego dostawcy)</w:t>
      </w:r>
      <w:r>
        <w:rPr>
          <w:rFonts w:ascii="Calibri" w:eastAsia="Times New Roman" w:hAnsi="Calibri" w:cs="Calibri"/>
          <w:color w:val="000000"/>
          <w:lang w:eastAsia="pl-PL"/>
        </w:rPr>
        <w:t>.</w:t>
      </w:r>
      <w:r w:rsidRPr="0077243A">
        <w:rPr>
          <w:rFonts w:ascii="Calibri" w:eastAsia="Times New Roman" w:hAnsi="Calibri" w:cs="Calibri"/>
          <w:color w:val="000000"/>
          <w:lang w:eastAsia="pl-PL"/>
        </w:rPr>
        <w:t xml:space="preserve"> </w:t>
      </w:r>
      <w:r w:rsidRPr="00A37490">
        <w:t>W</w:t>
      </w:r>
      <w:r>
        <w:t> </w:t>
      </w:r>
      <w:proofErr w:type="gramStart"/>
      <w:r w:rsidRPr="00A37490">
        <w:t>przypadku</w:t>
      </w:r>
      <w:proofErr w:type="gramEnd"/>
      <w:r w:rsidRPr="0077243A">
        <w:rPr>
          <w:rFonts w:ascii="Calibri" w:eastAsia="Times New Roman" w:hAnsi="Calibri" w:cs="Calibri"/>
          <w:color w:val="000000"/>
          <w:lang w:eastAsia="pl-PL"/>
        </w:rPr>
        <w:t xml:space="preserve"> gdyby podczas zbliżania się końca umowy system lub jego elementy nie były dostępne na rynku, Wykonawca zobowiązuje się do zaproponowania innego rozwiązania dostępnego na rynku i spełniającego wymagania </w:t>
      </w:r>
      <w:r>
        <w:rPr>
          <w:rFonts w:ascii="Calibri" w:eastAsia="Times New Roman" w:hAnsi="Calibri" w:cs="Calibri"/>
          <w:color w:val="000000"/>
          <w:lang w:eastAsia="pl-PL"/>
        </w:rPr>
        <w:t xml:space="preserve">niniejszego </w:t>
      </w:r>
      <w:r w:rsidRPr="0077243A">
        <w:rPr>
          <w:rFonts w:ascii="Calibri" w:eastAsia="Times New Roman" w:hAnsi="Calibri" w:cs="Calibri"/>
          <w:color w:val="000000"/>
          <w:lang w:eastAsia="pl-PL"/>
        </w:rPr>
        <w:t>OPZ</w:t>
      </w:r>
      <w:r>
        <w:rPr>
          <w:rFonts w:ascii="Calibri" w:eastAsia="Times New Roman" w:hAnsi="Calibri" w:cs="Calibri"/>
          <w:color w:val="000000"/>
          <w:lang w:eastAsia="pl-PL"/>
        </w:rPr>
        <w:t>.</w:t>
      </w:r>
    </w:p>
    <w:p w14:paraId="6023AFC0" w14:textId="77777777" w:rsidR="000D7E73" w:rsidRPr="0077243A" w:rsidRDefault="000D7E73" w:rsidP="000D7E73">
      <w:pPr>
        <w:pStyle w:val="Akapitzlist"/>
        <w:numPr>
          <w:ilvl w:val="0"/>
          <w:numId w:val="6"/>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B</w:t>
      </w:r>
      <w:r w:rsidRPr="0077243A">
        <w:rPr>
          <w:rFonts w:ascii="Calibri" w:eastAsia="Times New Roman" w:hAnsi="Calibri" w:cs="Calibri"/>
          <w:color w:val="000000"/>
          <w:lang w:eastAsia="pl-PL"/>
        </w:rPr>
        <w:t xml:space="preserve">roker komunikacyjny ma zapewnić bezpieczną komunikację między infrastrukturą Wykonawcy a </w:t>
      </w:r>
      <w:r>
        <w:rPr>
          <w:rFonts w:ascii="Calibri" w:eastAsia="Times New Roman" w:hAnsi="Calibri" w:cs="Calibri"/>
          <w:color w:val="000000"/>
          <w:lang w:eastAsia="pl-PL"/>
        </w:rPr>
        <w:t xml:space="preserve">infrastrukturą </w:t>
      </w:r>
      <w:r w:rsidRPr="0077243A">
        <w:rPr>
          <w:rFonts w:ascii="Calibri" w:eastAsia="Times New Roman" w:hAnsi="Calibri" w:cs="Calibri"/>
          <w:color w:val="000000"/>
          <w:lang w:eastAsia="pl-PL"/>
        </w:rPr>
        <w:t>Zamawiającego</w:t>
      </w:r>
      <w:r>
        <w:rPr>
          <w:rFonts w:ascii="Calibri" w:eastAsia="Times New Roman" w:hAnsi="Calibri" w:cs="Calibri"/>
          <w:color w:val="000000"/>
          <w:lang w:eastAsia="pl-PL"/>
        </w:rPr>
        <w:t>.</w:t>
      </w:r>
      <w:r w:rsidRPr="0077243A">
        <w:rPr>
          <w:rFonts w:ascii="Calibri" w:eastAsia="Times New Roman" w:hAnsi="Calibri" w:cs="Calibri"/>
          <w:color w:val="000000"/>
          <w:lang w:eastAsia="pl-PL"/>
        </w:rPr>
        <w:t xml:space="preserve"> </w:t>
      </w:r>
      <w:r>
        <w:rPr>
          <w:rFonts w:ascii="Calibri" w:eastAsia="Times New Roman" w:hAnsi="Calibri" w:cs="Calibri"/>
          <w:color w:val="000000"/>
          <w:lang w:eastAsia="pl-PL"/>
        </w:rPr>
        <w:t>N</w:t>
      </w:r>
      <w:r w:rsidRPr="0077243A">
        <w:rPr>
          <w:rFonts w:ascii="Calibri" w:eastAsia="Times New Roman" w:hAnsi="Calibri" w:cs="Calibri"/>
          <w:color w:val="000000"/>
          <w:lang w:eastAsia="pl-PL"/>
        </w:rPr>
        <w:t>iedopuszczalny jest bezpośredni dostęp systemów uruchamianych przez SOC do systemów wewnętrznych Zamawiającego</w:t>
      </w:r>
      <w:r>
        <w:rPr>
          <w:rFonts w:ascii="Calibri" w:eastAsia="Times New Roman" w:hAnsi="Calibri" w:cs="Calibri"/>
          <w:color w:val="000000"/>
          <w:lang w:eastAsia="pl-PL"/>
        </w:rPr>
        <w:t>.</w:t>
      </w:r>
    </w:p>
    <w:p w14:paraId="541A38BB" w14:textId="77777777" w:rsidR="000D7E73" w:rsidRDefault="000D7E73" w:rsidP="000D7E73">
      <w:pPr>
        <w:pStyle w:val="Akapitzlist"/>
        <w:numPr>
          <w:ilvl w:val="0"/>
          <w:numId w:val="6"/>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w:t>
      </w:r>
      <w:r w:rsidRPr="0077243A">
        <w:rPr>
          <w:rFonts w:ascii="Calibri" w:eastAsia="Times New Roman" w:hAnsi="Calibri" w:cs="Calibri"/>
          <w:color w:val="000000"/>
          <w:lang w:eastAsia="pl-PL"/>
        </w:rPr>
        <w:t xml:space="preserve">rojekt rozwiązania </w:t>
      </w:r>
      <w:r>
        <w:rPr>
          <w:rFonts w:ascii="Calibri" w:eastAsia="Times New Roman" w:hAnsi="Calibri" w:cs="Calibri"/>
          <w:color w:val="000000"/>
          <w:lang w:eastAsia="pl-PL"/>
        </w:rPr>
        <w:t xml:space="preserve">z wykorzystaniem brokera komunikacyjnego </w:t>
      </w:r>
      <w:r w:rsidRPr="0077243A">
        <w:rPr>
          <w:rFonts w:ascii="Calibri" w:eastAsia="Times New Roman" w:hAnsi="Calibri" w:cs="Calibri"/>
          <w:color w:val="000000"/>
          <w:lang w:eastAsia="pl-PL"/>
        </w:rPr>
        <w:t>Wykonawca przedstawi Zamawiającemu do akceptacji podczas etapu audyt</w:t>
      </w:r>
      <w:r>
        <w:rPr>
          <w:rFonts w:ascii="Calibri" w:eastAsia="Times New Roman" w:hAnsi="Calibri" w:cs="Calibri"/>
          <w:color w:val="000000"/>
          <w:lang w:eastAsia="pl-PL"/>
        </w:rPr>
        <w:t>u</w:t>
      </w:r>
      <w:r w:rsidRPr="0077243A">
        <w:rPr>
          <w:rFonts w:ascii="Calibri" w:eastAsia="Times New Roman" w:hAnsi="Calibri" w:cs="Calibri"/>
          <w:color w:val="000000"/>
          <w:lang w:eastAsia="pl-PL"/>
        </w:rPr>
        <w:t xml:space="preserve"> i analizy.</w:t>
      </w:r>
    </w:p>
    <w:p w14:paraId="0CFF51ED" w14:textId="77777777" w:rsidR="000D7E73" w:rsidRDefault="000D7E73" w:rsidP="000D7E73">
      <w:pPr>
        <w:pStyle w:val="Akapitzlist"/>
        <w:numPr>
          <w:ilvl w:val="0"/>
          <w:numId w:val="5"/>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Harmonogram</w:t>
      </w:r>
    </w:p>
    <w:p w14:paraId="39F6AB78"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Wdrożenie wszystkich wymagań i funkcjonalności określonych umową zostanie zakończone najpóźniej do dnia 30 kwietnia 2026 r.</w:t>
      </w:r>
    </w:p>
    <w:p w14:paraId="471CE12D"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rsidRPr="006C0F44">
        <w:rPr>
          <w:rFonts w:ascii="Calibri" w:eastAsia="Times New Roman" w:hAnsi="Calibri" w:cs="Calibri"/>
          <w:color w:val="000000"/>
          <w:lang w:eastAsia="pl-PL"/>
        </w:rPr>
        <w:t>W czasie trwania umowy Wykonawca będzie doskonalił</w:t>
      </w:r>
      <w:r>
        <w:rPr>
          <w:rFonts w:ascii="Calibri" w:eastAsia="Times New Roman" w:hAnsi="Calibri" w:cs="Calibri"/>
          <w:color w:val="000000"/>
          <w:lang w:eastAsia="pl-PL"/>
        </w:rPr>
        <w:t>,</w:t>
      </w:r>
      <w:r w:rsidRPr="006C0F44">
        <w:rPr>
          <w:rFonts w:ascii="Calibri" w:eastAsia="Times New Roman" w:hAnsi="Calibri" w:cs="Calibri"/>
          <w:color w:val="000000"/>
          <w:lang w:eastAsia="pl-PL"/>
        </w:rPr>
        <w:t xml:space="preserve"> wspólnie z Zamawiającym</w:t>
      </w:r>
      <w:r>
        <w:rPr>
          <w:rFonts w:ascii="Calibri" w:eastAsia="Times New Roman" w:hAnsi="Calibri" w:cs="Calibri"/>
          <w:color w:val="000000"/>
          <w:lang w:eastAsia="pl-PL"/>
        </w:rPr>
        <w:t>,</w:t>
      </w:r>
      <w:r w:rsidRPr="006C0F44">
        <w:rPr>
          <w:rFonts w:ascii="Calibri" w:eastAsia="Times New Roman" w:hAnsi="Calibri" w:cs="Calibri"/>
          <w:color w:val="000000"/>
          <w:lang w:eastAsia="pl-PL"/>
        </w:rPr>
        <w:t xml:space="preserve"> systemy</w:t>
      </w:r>
      <w:r>
        <w:rPr>
          <w:rFonts w:ascii="Calibri" w:eastAsia="Times New Roman" w:hAnsi="Calibri" w:cs="Calibri"/>
          <w:color w:val="000000"/>
          <w:lang w:eastAsia="pl-PL"/>
        </w:rPr>
        <w:t xml:space="preserve"> </w:t>
      </w:r>
      <w:r w:rsidRPr="006C0F44">
        <w:rPr>
          <w:rFonts w:ascii="Calibri" w:eastAsia="Times New Roman" w:hAnsi="Calibri" w:cs="Calibri"/>
          <w:color w:val="000000"/>
          <w:lang w:eastAsia="pl-PL"/>
        </w:rPr>
        <w:t xml:space="preserve">bezpieczeństwa </w:t>
      </w:r>
      <w:r>
        <w:rPr>
          <w:rFonts w:ascii="Calibri" w:eastAsia="Times New Roman" w:hAnsi="Calibri" w:cs="Calibri"/>
          <w:color w:val="000000"/>
          <w:lang w:eastAsia="pl-PL"/>
        </w:rPr>
        <w:t>oraz</w:t>
      </w:r>
      <w:r w:rsidRPr="006C0F44">
        <w:rPr>
          <w:rFonts w:ascii="Calibri" w:eastAsia="Times New Roman" w:hAnsi="Calibri" w:cs="Calibri"/>
          <w:color w:val="000000"/>
          <w:lang w:eastAsia="pl-PL"/>
        </w:rPr>
        <w:t xml:space="preserve"> reguły </w:t>
      </w:r>
      <w:r>
        <w:rPr>
          <w:rFonts w:ascii="Calibri" w:eastAsia="Times New Roman" w:hAnsi="Calibri" w:cs="Calibri"/>
          <w:color w:val="000000"/>
          <w:lang w:eastAsia="pl-PL"/>
        </w:rPr>
        <w:t>wykrywania</w:t>
      </w:r>
      <w:r w:rsidRPr="006C0F44">
        <w:rPr>
          <w:rFonts w:ascii="Calibri" w:eastAsia="Times New Roman" w:hAnsi="Calibri" w:cs="Calibri"/>
          <w:color w:val="000000"/>
          <w:lang w:eastAsia="pl-PL"/>
        </w:rPr>
        <w:t xml:space="preserve"> incydent</w:t>
      </w:r>
      <w:r>
        <w:rPr>
          <w:rFonts w:ascii="Calibri" w:eastAsia="Times New Roman" w:hAnsi="Calibri" w:cs="Calibri"/>
          <w:color w:val="000000"/>
          <w:lang w:eastAsia="pl-PL"/>
        </w:rPr>
        <w:t>ów</w:t>
      </w:r>
      <w:r w:rsidRPr="006C0F44">
        <w:rPr>
          <w:rFonts w:ascii="Calibri" w:eastAsia="Times New Roman" w:hAnsi="Calibri" w:cs="Calibri"/>
          <w:color w:val="000000"/>
          <w:lang w:eastAsia="pl-PL"/>
        </w:rPr>
        <w:t>, tak aby maksymalnie wzmocnić</w:t>
      </w:r>
      <w:r>
        <w:rPr>
          <w:rFonts w:ascii="Calibri" w:eastAsia="Times New Roman" w:hAnsi="Calibri" w:cs="Calibri"/>
          <w:color w:val="000000"/>
          <w:lang w:eastAsia="pl-PL"/>
        </w:rPr>
        <w:t xml:space="preserve"> </w:t>
      </w:r>
      <w:r w:rsidRPr="006C0F44">
        <w:rPr>
          <w:rFonts w:ascii="Calibri" w:eastAsia="Times New Roman" w:hAnsi="Calibri" w:cs="Calibri"/>
          <w:color w:val="000000"/>
          <w:lang w:eastAsia="pl-PL"/>
        </w:rPr>
        <w:t>bezpieczeństwo Zamawiającego</w:t>
      </w:r>
      <w:r>
        <w:rPr>
          <w:rFonts w:ascii="Calibri" w:eastAsia="Times New Roman" w:hAnsi="Calibri" w:cs="Calibri"/>
          <w:color w:val="000000"/>
          <w:lang w:eastAsia="pl-PL"/>
        </w:rPr>
        <w:t>.</w:t>
      </w:r>
    </w:p>
    <w:p w14:paraId="39F7593C"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rsidRPr="006C0F44">
        <w:rPr>
          <w:rFonts w:ascii="Calibri" w:eastAsia="Times New Roman" w:hAnsi="Calibri" w:cs="Calibri"/>
          <w:color w:val="000000"/>
          <w:lang w:eastAsia="pl-PL"/>
        </w:rPr>
        <w:t>Wykonawca będzie przekazywał raporty z wykonanej usługi</w:t>
      </w:r>
      <w:r>
        <w:rPr>
          <w:rFonts w:ascii="Calibri" w:eastAsia="Times New Roman" w:hAnsi="Calibri" w:cs="Calibri"/>
          <w:color w:val="000000"/>
          <w:lang w:eastAsia="pl-PL"/>
        </w:rPr>
        <w:t xml:space="preserve"> zgodnie z zakresem określonym w niniejszym dokumencie.</w:t>
      </w:r>
    </w:p>
    <w:p w14:paraId="61271D20"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rsidRPr="006C0F44">
        <w:rPr>
          <w:rFonts w:ascii="Calibri" w:eastAsia="Times New Roman" w:hAnsi="Calibri" w:cs="Calibri"/>
          <w:color w:val="000000"/>
          <w:lang w:eastAsia="pl-PL"/>
        </w:rPr>
        <w:t>Terminy i spos</w:t>
      </w:r>
      <w:r>
        <w:rPr>
          <w:rFonts w:ascii="Calibri" w:eastAsia="Times New Roman" w:hAnsi="Calibri" w:cs="Calibri"/>
          <w:color w:val="000000"/>
          <w:lang w:eastAsia="pl-PL"/>
        </w:rPr>
        <w:t>ób</w:t>
      </w:r>
      <w:r w:rsidRPr="006C0F44">
        <w:rPr>
          <w:rFonts w:ascii="Calibri" w:eastAsia="Times New Roman" w:hAnsi="Calibri" w:cs="Calibri"/>
          <w:color w:val="000000"/>
          <w:lang w:eastAsia="pl-PL"/>
        </w:rPr>
        <w:t xml:space="preserve"> przekaz</w:t>
      </w:r>
      <w:r>
        <w:rPr>
          <w:rFonts w:ascii="Calibri" w:eastAsia="Times New Roman" w:hAnsi="Calibri" w:cs="Calibri"/>
          <w:color w:val="000000"/>
          <w:lang w:eastAsia="pl-PL"/>
        </w:rPr>
        <w:t>yw</w:t>
      </w:r>
      <w:r w:rsidRPr="006C0F44">
        <w:rPr>
          <w:rFonts w:ascii="Calibri" w:eastAsia="Times New Roman" w:hAnsi="Calibri" w:cs="Calibri"/>
          <w:color w:val="000000"/>
          <w:lang w:eastAsia="pl-PL"/>
        </w:rPr>
        <w:t xml:space="preserve">ania raportów zostaną ustalone </w:t>
      </w:r>
      <w:r>
        <w:rPr>
          <w:rFonts w:ascii="Calibri" w:eastAsia="Times New Roman" w:hAnsi="Calibri" w:cs="Calibri"/>
          <w:color w:val="000000"/>
          <w:lang w:eastAsia="pl-PL"/>
        </w:rPr>
        <w:t>po</w:t>
      </w:r>
      <w:r w:rsidRPr="006C0F44">
        <w:rPr>
          <w:rFonts w:ascii="Calibri" w:eastAsia="Times New Roman" w:hAnsi="Calibri" w:cs="Calibri"/>
          <w:color w:val="000000"/>
          <w:lang w:eastAsia="pl-PL"/>
        </w:rPr>
        <w:t>między Wykonawcą</w:t>
      </w:r>
      <w:r>
        <w:rPr>
          <w:rFonts w:ascii="Calibri" w:eastAsia="Times New Roman" w:hAnsi="Calibri" w:cs="Calibri"/>
          <w:color w:val="000000"/>
          <w:lang w:eastAsia="pl-PL"/>
        </w:rPr>
        <w:t xml:space="preserve"> </w:t>
      </w:r>
      <w:r w:rsidRPr="006C0F44">
        <w:rPr>
          <w:rFonts w:ascii="Calibri" w:eastAsia="Times New Roman" w:hAnsi="Calibri" w:cs="Calibri"/>
          <w:color w:val="000000"/>
          <w:lang w:eastAsia="pl-PL"/>
        </w:rPr>
        <w:t>a Zamawiającym</w:t>
      </w:r>
      <w:r>
        <w:rPr>
          <w:rFonts w:ascii="Calibri" w:eastAsia="Times New Roman" w:hAnsi="Calibri" w:cs="Calibri"/>
          <w:color w:val="000000"/>
          <w:lang w:eastAsia="pl-PL"/>
        </w:rPr>
        <w:t xml:space="preserve"> na etapie wdrożenia.</w:t>
      </w:r>
    </w:p>
    <w:p w14:paraId="349535A8"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t>Działania dodatkowe będą każdorazowo ustalane pomiędzy Wykonawcą a Zamawiającym, z określeniem zakresu oraz warunków realizacji</w:t>
      </w:r>
      <w:r>
        <w:rPr>
          <w:rFonts w:ascii="Calibri" w:eastAsia="Times New Roman" w:hAnsi="Calibri" w:cs="Calibri"/>
          <w:color w:val="000000"/>
          <w:lang w:eastAsia="pl-PL"/>
        </w:rPr>
        <w:t>.</w:t>
      </w:r>
    </w:p>
    <w:p w14:paraId="5B38507C" w14:textId="77777777" w:rsidR="000D7E73" w:rsidRDefault="000D7E73" w:rsidP="000D7E73">
      <w:pPr>
        <w:pStyle w:val="Akapitzlist"/>
        <w:spacing w:after="0" w:line="240" w:lineRule="auto"/>
        <w:ind w:left="1068"/>
        <w:rPr>
          <w:rFonts w:ascii="Calibri" w:eastAsia="Times New Roman" w:hAnsi="Calibri" w:cs="Calibri"/>
          <w:color w:val="000000"/>
          <w:lang w:eastAsia="pl-PL"/>
        </w:rPr>
      </w:pPr>
    </w:p>
    <w:p w14:paraId="1A7498D0" w14:textId="77777777" w:rsidR="000D7E73" w:rsidRDefault="000D7E73" w:rsidP="000D7E73">
      <w:pPr>
        <w:pStyle w:val="Akapitzlist"/>
        <w:numPr>
          <w:ilvl w:val="0"/>
          <w:numId w:val="5"/>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Parametry świadczenia usług</w:t>
      </w:r>
    </w:p>
    <w:p w14:paraId="06172F65"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Tryb pracy SOC-L1: 24/7/365, z maksymalnym czasem reakcji na incydent wynoszącym 30 minut.</w:t>
      </w:r>
    </w:p>
    <w:p w14:paraId="4281E246" w14:textId="77777777" w:rsidR="000D7E73" w:rsidRDefault="000D7E73" w:rsidP="000D7E73">
      <w:pPr>
        <w:pStyle w:val="Akapitzlist"/>
        <w:numPr>
          <w:ilvl w:val="1"/>
          <w:numId w:val="5"/>
        </w:numPr>
        <w:spacing w:after="0" w:line="240" w:lineRule="auto"/>
        <w:rPr>
          <w:rFonts w:ascii="Calibri" w:eastAsia="Times New Roman" w:hAnsi="Calibri" w:cs="Calibri"/>
          <w:color w:val="000000"/>
          <w:lang w:eastAsia="pl-PL"/>
        </w:rPr>
      </w:pPr>
      <w:r>
        <w:t>Dodatkowe działania – wykonywane według potrzeb, po wcześniejszym zaakceptowaniu przez Zamawiającego zakresu prac oraz związanych z nimi kosztów</w:t>
      </w:r>
      <w:r>
        <w:rPr>
          <w:rFonts w:ascii="Calibri" w:eastAsia="Times New Roman" w:hAnsi="Calibri" w:cs="Calibri"/>
          <w:color w:val="000000"/>
          <w:lang w:eastAsia="pl-PL"/>
        </w:rPr>
        <w:t>.</w:t>
      </w:r>
    </w:p>
    <w:p w14:paraId="0BD27432" w14:textId="77777777" w:rsidR="000D7E73" w:rsidRDefault="000D7E73" w:rsidP="000D7E73">
      <w:pPr>
        <w:pStyle w:val="Akapitzlist"/>
        <w:numPr>
          <w:ilvl w:val="0"/>
          <w:numId w:val="5"/>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Poziomy usług (SLA)</w:t>
      </w:r>
    </w:p>
    <w:p w14:paraId="23C050B2" w14:textId="77777777" w:rsidR="000D7E73" w:rsidRPr="006F7EED" w:rsidRDefault="000D7E73" w:rsidP="000D7E73">
      <w:pPr>
        <w:pStyle w:val="Akapitzlist"/>
        <w:numPr>
          <w:ilvl w:val="1"/>
          <w:numId w:val="5"/>
        </w:numPr>
        <w:spacing w:after="0" w:line="240" w:lineRule="auto"/>
        <w:rPr>
          <w:rFonts w:ascii="Calibri" w:eastAsia="Times New Roman" w:hAnsi="Calibri" w:cs="Calibri"/>
          <w:color w:val="000000"/>
          <w:lang w:eastAsia="pl-PL"/>
        </w:rPr>
      </w:pPr>
      <w:r>
        <w:t>Niniejszy punkt określa minimalne poziomy świadczenia usług (SLA), które Wykonawca jest zobowiązany zapewnić przy realizacji usługi SOC.</w:t>
      </w:r>
    </w:p>
    <w:p w14:paraId="23E48ECA" w14:textId="77777777" w:rsidR="000D7E73" w:rsidRPr="006F7EED" w:rsidRDefault="000D7E73" w:rsidP="000D7E73">
      <w:pPr>
        <w:pStyle w:val="Akapitzlist"/>
        <w:numPr>
          <w:ilvl w:val="1"/>
          <w:numId w:val="5"/>
        </w:numPr>
        <w:spacing w:after="0" w:line="240" w:lineRule="auto"/>
        <w:rPr>
          <w:rFonts w:ascii="Calibri" w:eastAsia="Times New Roman" w:hAnsi="Calibri" w:cs="Calibri"/>
          <w:color w:val="000000"/>
          <w:lang w:eastAsia="pl-PL"/>
        </w:rPr>
      </w:pPr>
      <w:r>
        <w:t>Definicje:</w:t>
      </w:r>
    </w:p>
    <w:p w14:paraId="124691DC" w14:textId="77777777" w:rsidR="000D7E73" w:rsidRPr="006F7EED" w:rsidRDefault="000D7E73" w:rsidP="000D7E73">
      <w:pPr>
        <w:pStyle w:val="Akapitzlist"/>
        <w:numPr>
          <w:ilvl w:val="2"/>
          <w:numId w:val="5"/>
        </w:numPr>
        <w:spacing w:after="0" w:line="240" w:lineRule="auto"/>
        <w:rPr>
          <w:rFonts w:ascii="Calibri" w:eastAsia="Times New Roman" w:hAnsi="Calibri" w:cs="Calibri"/>
          <w:color w:val="000000"/>
          <w:lang w:eastAsia="pl-PL"/>
        </w:rPr>
      </w:pPr>
      <w:r>
        <w:t>Czas reakcji – maksymalny czas liczony od momentu wykrycia incydentu przez system SIEM/Wykonawcę lub od momentu zgłoszenia incydentu przez Zamawiającego do momentu podjęcia przez Wykonawcę pierwszych działań analitycznych lub technicznych,</w:t>
      </w:r>
    </w:p>
    <w:p w14:paraId="38565A6C" w14:textId="77777777" w:rsidR="000D7E73" w:rsidRPr="006F7EED" w:rsidRDefault="000D7E73" w:rsidP="000D7E73">
      <w:pPr>
        <w:pStyle w:val="Akapitzlist"/>
        <w:numPr>
          <w:ilvl w:val="2"/>
          <w:numId w:val="5"/>
        </w:numPr>
        <w:spacing w:after="0" w:line="240" w:lineRule="auto"/>
        <w:rPr>
          <w:rFonts w:ascii="Calibri" w:eastAsia="Times New Roman" w:hAnsi="Calibri" w:cs="Calibri"/>
          <w:color w:val="000000"/>
          <w:lang w:eastAsia="pl-PL"/>
        </w:rPr>
      </w:pPr>
      <w:r>
        <w:lastRenderedPageBreak/>
        <w:t>Czas wdrożenia działań mitygujących – maksymalny czas od zaklasyfikowania incydentu do wdrożenia działań ograniczających jego wpływ na środowisko Zamawiającego,</w:t>
      </w:r>
    </w:p>
    <w:p w14:paraId="63D7AF3C" w14:textId="77777777" w:rsidR="000D7E73" w:rsidRPr="00981FBE" w:rsidRDefault="000D7E73" w:rsidP="000D7E73">
      <w:pPr>
        <w:pStyle w:val="Akapitzlist"/>
        <w:numPr>
          <w:ilvl w:val="2"/>
          <w:numId w:val="5"/>
        </w:numPr>
        <w:spacing w:after="0" w:line="240" w:lineRule="auto"/>
        <w:rPr>
          <w:rFonts w:ascii="Calibri" w:eastAsia="Times New Roman" w:hAnsi="Calibri" w:cs="Calibri"/>
          <w:color w:val="000000"/>
          <w:lang w:eastAsia="pl-PL"/>
        </w:rPr>
      </w:pPr>
      <w:r>
        <w:t>Dostępność usługi SOC – procentowy udział czasu, w którym usługa SOC (monitoring, obsługa incydentów, dostęp do systemów SIEM/ITSM) jest dostępna dla Zamawiającego w skali miesiąca kalendarzowego, z wyłączeniem przerw planowanych.</w:t>
      </w:r>
    </w:p>
    <w:p w14:paraId="646A6E01" w14:textId="77777777" w:rsidR="000D7E73" w:rsidRPr="00981FBE" w:rsidRDefault="000D7E73" w:rsidP="000D7E73">
      <w:pPr>
        <w:pStyle w:val="Akapitzlist"/>
        <w:numPr>
          <w:ilvl w:val="1"/>
          <w:numId w:val="5"/>
        </w:numPr>
        <w:spacing w:after="0" w:line="240" w:lineRule="auto"/>
        <w:rPr>
          <w:rFonts w:ascii="Calibri" w:eastAsia="Times New Roman" w:hAnsi="Calibri" w:cs="Calibri"/>
          <w:color w:val="000000"/>
          <w:lang w:eastAsia="pl-PL"/>
        </w:rPr>
      </w:pPr>
      <w:r>
        <w:t>Klasy incydentów:</w:t>
      </w:r>
    </w:p>
    <w:p w14:paraId="620B1B11" w14:textId="77777777" w:rsidR="000D7E73" w:rsidRPr="00981FBE" w:rsidRDefault="000D7E73" w:rsidP="000D7E73">
      <w:pPr>
        <w:pStyle w:val="Akapitzlist"/>
        <w:numPr>
          <w:ilvl w:val="2"/>
          <w:numId w:val="5"/>
        </w:numPr>
        <w:spacing w:after="0" w:line="240" w:lineRule="auto"/>
        <w:rPr>
          <w:rFonts w:ascii="Calibri" w:eastAsia="Times New Roman" w:hAnsi="Calibri" w:cs="Calibri"/>
          <w:color w:val="000000"/>
          <w:lang w:eastAsia="pl-PL"/>
        </w:rPr>
      </w:pPr>
      <w:r>
        <w:t>Incydent krytyczny – incydent powodujący całkowitą lub prawie całkowitą niedostępność usług kluczowych dla działania Zamawiającego, istotne naruszenie poufności lub integralności danych (w tym wyciek danych wrażliwych), rozległy atak na infrastrukturę, szyfrowanie danych (np. ransomware),</w:t>
      </w:r>
    </w:p>
    <w:p w14:paraId="5F1A3AEF" w14:textId="77777777" w:rsidR="000D7E73" w:rsidRPr="00981FBE" w:rsidRDefault="000D7E73" w:rsidP="000D7E73">
      <w:pPr>
        <w:pStyle w:val="Akapitzlist"/>
        <w:numPr>
          <w:ilvl w:val="2"/>
          <w:numId w:val="5"/>
        </w:numPr>
        <w:spacing w:after="0" w:line="240" w:lineRule="auto"/>
        <w:rPr>
          <w:rFonts w:ascii="Calibri" w:eastAsia="Times New Roman" w:hAnsi="Calibri" w:cs="Calibri"/>
          <w:color w:val="000000"/>
          <w:lang w:eastAsia="pl-PL"/>
        </w:rPr>
      </w:pPr>
      <w:r>
        <w:t>Incydent wysoki – incydent istotnie zakłócający pracę systemów lub użytkowników (np. lokalna niedostępność usług, wykrycie aktywnej kampanii phishingowej, rozprzestrzenianie się złośliwego oprogramowania w ograniczonym zakresie),</w:t>
      </w:r>
    </w:p>
    <w:p w14:paraId="0C53C1E9" w14:textId="77777777" w:rsidR="000D7E73" w:rsidRPr="00981FBE" w:rsidRDefault="000D7E73" w:rsidP="000D7E73">
      <w:pPr>
        <w:pStyle w:val="Akapitzlist"/>
        <w:numPr>
          <w:ilvl w:val="2"/>
          <w:numId w:val="5"/>
        </w:numPr>
        <w:spacing w:after="0" w:line="240" w:lineRule="auto"/>
        <w:rPr>
          <w:rFonts w:ascii="Calibri" w:eastAsia="Times New Roman" w:hAnsi="Calibri" w:cs="Calibri"/>
          <w:color w:val="000000"/>
          <w:lang w:eastAsia="pl-PL"/>
        </w:rPr>
      </w:pPr>
      <w:r>
        <w:t>Incydent średni – incydent o ograniczonym zasięgu lub potencjalnym wpływie, wymagający analizy i rekomendacji (np. pojedyncze zakażenie stacji roboczej, wykrycie podejrzanej komunikacji sieciowej),</w:t>
      </w:r>
    </w:p>
    <w:p w14:paraId="0442CE61"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Incydent niski – zdarzenie o charakterze informacyjnym lub ostrzegawczym (np. wykryte podatności, pojedyncze nieudane próby logowania, sygnały wymagające dalszego monitorowania).</w:t>
      </w:r>
    </w:p>
    <w:p w14:paraId="11F424B3" w14:textId="77777777" w:rsidR="000D7E73" w:rsidRPr="006B74DF" w:rsidRDefault="000D7E73" w:rsidP="000D7E73">
      <w:pPr>
        <w:pStyle w:val="Akapitzlist"/>
        <w:numPr>
          <w:ilvl w:val="1"/>
          <w:numId w:val="5"/>
        </w:numPr>
        <w:spacing w:after="0" w:line="240" w:lineRule="auto"/>
        <w:rPr>
          <w:rFonts w:ascii="Calibri" w:eastAsia="Times New Roman" w:hAnsi="Calibri" w:cs="Calibri"/>
          <w:color w:val="000000"/>
          <w:lang w:eastAsia="pl-PL"/>
        </w:rPr>
      </w:pPr>
      <w:r>
        <w:t>Minimalne wymagania SLA:</w:t>
      </w:r>
    </w:p>
    <w:p w14:paraId="5E30A91D" w14:textId="77777777" w:rsidR="000D7E73" w:rsidRDefault="000D7E73" w:rsidP="000D7E73">
      <w:pPr>
        <w:pStyle w:val="Akapitzlist"/>
        <w:numPr>
          <w:ilvl w:val="2"/>
          <w:numId w:val="5"/>
        </w:numPr>
      </w:pPr>
      <w:r>
        <w:t>Czas reakcji SOC-L1:</w:t>
      </w:r>
    </w:p>
    <w:p w14:paraId="0BD49F52" w14:textId="77777777" w:rsidR="000D7E73" w:rsidRDefault="000D7E73" w:rsidP="000D7E73">
      <w:pPr>
        <w:pStyle w:val="Akapitzlist"/>
      </w:pPr>
      <w:r>
        <w:t xml:space="preserve">    </w:t>
      </w:r>
      <w:r>
        <w:tab/>
      </w:r>
      <w:r>
        <w:tab/>
        <w:t xml:space="preserve">  - incydent krytyczny – do 30 minut,</w:t>
      </w:r>
    </w:p>
    <w:p w14:paraId="76F0C1D6" w14:textId="77777777" w:rsidR="000D7E73" w:rsidRDefault="000D7E73" w:rsidP="000D7E73">
      <w:pPr>
        <w:pStyle w:val="Akapitzlist"/>
      </w:pPr>
      <w:r>
        <w:t xml:space="preserve">    </w:t>
      </w:r>
      <w:r>
        <w:tab/>
      </w:r>
      <w:r>
        <w:tab/>
        <w:t xml:space="preserve">  - incydent wysoki – do 30 minut,</w:t>
      </w:r>
    </w:p>
    <w:p w14:paraId="0D491FAA" w14:textId="77777777" w:rsidR="000D7E73" w:rsidRDefault="000D7E73" w:rsidP="000D7E73">
      <w:pPr>
        <w:pStyle w:val="Akapitzlist"/>
      </w:pPr>
      <w:r>
        <w:t xml:space="preserve">    </w:t>
      </w:r>
      <w:r>
        <w:tab/>
      </w:r>
      <w:r>
        <w:tab/>
        <w:t xml:space="preserve">  - incydent średni – do 2 godzin,</w:t>
      </w:r>
    </w:p>
    <w:p w14:paraId="4950660B" w14:textId="77777777" w:rsidR="000D7E73" w:rsidRDefault="000D7E73" w:rsidP="000D7E73">
      <w:pPr>
        <w:pStyle w:val="Akapitzlist"/>
        <w:ind w:left="2124"/>
      </w:pPr>
      <w:r>
        <w:t xml:space="preserve">  - incydent niski – do 4 godzin (w dni robocze w godzinach pracy Zamawiającego, o ile nie uzgodniono inaczej).</w:t>
      </w:r>
    </w:p>
    <w:p w14:paraId="2C67910F"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Czas wdrożenia działań mitygujących (przy założeniu współpracy administratorów Zamawiającego, gdy wymagane):</w:t>
      </w:r>
    </w:p>
    <w:p w14:paraId="1C34B6DB" w14:textId="77777777" w:rsidR="000D7E73" w:rsidRDefault="000D7E73" w:rsidP="000D7E73">
      <w:pPr>
        <w:pStyle w:val="Akapitzlist"/>
      </w:pPr>
      <w:r>
        <w:t xml:space="preserve">     </w:t>
      </w:r>
      <w:r>
        <w:tab/>
      </w:r>
      <w:r>
        <w:tab/>
        <w:t>- incydent krytyczny – do 4 godzin,</w:t>
      </w:r>
    </w:p>
    <w:p w14:paraId="2D57B132" w14:textId="77777777" w:rsidR="000D7E73" w:rsidRDefault="000D7E73" w:rsidP="000D7E73">
      <w:pPr>
        <w:pStyle w:val="Akapitzlist"/>
      </w:pPr>
      <w:r>
        <w:t xml:space="preserve">      </w:t>
      </w:r>
      <w:r>
        <w:tab/>
      </w:r>
      <w:r>
        <w:tab/>
        <w:t>- incydent wysoki – do 8 godzin,</w:t>
      </w:r>
    </w:p>
    <w:p w14:paraId="1835A980" w14:textId="77777777" w:rsidR="000D7E73" w:rsidRDefault="000D7E73" w:rsidP="000D7E73">
      <w:pPr>
        <w:pStyle w:val="Akapitzlist"/>
      </w:pPr>
      <w:r>
        <w:t xml:space="preserve">      </w:t>
      </w:r>
      <w:r>
        <w:tab/>
      </w:r>
      <w:r>
        <w:tab/>
        <w:t>- incydent średni – do 16 godzin (w dni robocze),</w:t>
      </w:r>
    </w:p>
    <w:p w14:paraId="5DB46146" w14:textId="77777777" w:rsidR="000D7E73" w:rsidRDefault="000D7E73" w:rsidP="000D7E73">
      <w:pPr>
        <w:pStyle w:val="Akapitzlist"/>
      </w:pPr>
      <w:r>
        <w:t xml:space="preserve">      </w:t>
      </w:r>
      <w:r>
        <w:tab/>
      </w:r>
      <w:r>
        <w:tab/>
        <w:t>- incydent niski – na podstawie uzgodnionego planu działań i priorytetyzacji.</w:t>
      </w:r>
    </w:p>
    <w:p w14:paraId="6C04A919"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Dostępność usługi SOC – nie mniej niż 99,5% w skali miesiąca kalendarzowego, dla trybu pracy 24/7/365; przerwy planowane Wykonawca uzgadnia z Zamawiającym z odpowiednim wyprzedzeniem.</w:t>
      </w:r>
    </w:p>
    <w:p w14:paraId="09D808CA" w14:textId="77777777" w:rsidR="000D7E73" w:rsidRPr="006B74DF" w:rsidRDefault="000D7E73" w:rsidP="000D7E73">
      <w:pPr>
        <w:spacing w:after="0" w:line="240" w:lineRule="auto"/>
        <w:ind w:left="720"/>
        <w:rPr>
          <w:rFonts w:ascii="Calibri" w:eastAsia="Times New Roman" w:hAnsi="Calibri" w:cs="Calibri"/>
          <w:color w:val="000000"/>
          <w:lang w:eastAsia="pl-PL"/>
        </w:rPr>
      </w:pPr>
    </w:p>
    <w:p w14:paraId="3FD5E5A8" w14:textId="77777777" w:rsidR="000D7E73" w:rsidRDefault="000D7E73" w:rsidP="000D7E73">
      <w:pPr>
        <w:pStyle w:val="Akapitzlist"/>
        <w:numPr>
          <w:ilvl w:val="0"/>
          <w:numId w:val="5"/>
        </w:num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Retencja danych i logów</w:t>
      </w:r>
    </w:p>
    <w:p w14:paraId="0BD82152" w14:textId="77777777" w:rsidR="000D7E73" w:rsidRPr="006B74DF" w:rsidRDefault="000D7E73" w:rsidP="000D7E73">
      <w:pPr>
        <w:pStyle w:val="Akapitzlist"/>
        <w:numPr>
          <w:ilvl w:val="1"/>
          <w:numId w:val="5"/>
        </w:numPr>
        <w:spacing w:after="0" w:line="240" w:lineRule="auto"/>
        <w:rPr>
          <w:rFonts w:ascii="Calibri" w:eastAsia="Times New Roman" w:hAnsi="Calibri" w:cs="Calibri"/>
          <w:color w:val="000000"/>
          <w:lang w:eastAsia="pl-PL"/>
        </w:rPr>
      </w:pPr>
      <w:r>
        <w:t>System SIEM oraz powiązane systemy wykorzystywane w ramach usługi SOC muszą zapewniać przechowywanie (retencję) logów oraz danych niezbędnych do analizy zdarzeń i incydentów bezpieczeństwa przez okres:</w:t>
      </w:r>
    </w:p>
    <w:p w14:paraId="7D82FE9B"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nie krótszy niż 12 miesięcy w trybie tzw. „online” (dostęp w systemie SIEM w sposób umożliwiający bieżące wyszukiwanie, korelację i raportowanie),</w:t>
      </w:r>
    </w:p>
    <w:p w14:paraId="256E8CE0"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nie krótszy niż 36 miesięcy w trybie archiwalnym (na nośnikach zapewniających integralność danych i możliwość ich odtworzenia na potrzeby analiz, audytów lub postępowań wyjaśniających).</w:t>
      </w:r>
    </w:p>
    <w:p w14:paraId="1D1F3DED" w14:textId="77777777" w:rsidR="000D7E73" w:rsidRPr="006B74DF" w:rsidRDefault="000D7E73" w:rsidP="000D7E73">
      <w:pPr>
        <w:pStyle w:val="Akapitzlist"/>
        <w:numPr>
          <w:ilvl w:val="1"/>
          <w:numId w:val="5"/>
        </w:numPr>
        <w:spacing w:after="0" w:line="240" w:lineRule="auto"/>
        <w:rPr>
          <w:rFonts w:ascii="Calibri" w:eastAsia="Times New Roman" w:hAnsi="Calibri" w:cs="Calibri"/>
          <w:color w:val="000000"/>
          <w:lang w:eastAsia="pl-PL"/>
        </w:rPr>
      </w:pPr>
      <w:r>
        <w:t>Logi muszą być przechowywane w sposób zapewniający:</w:t>
      </w:r>
    </w:p>
    <w:p w14:paraId="52976AB0"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lastRenderedPageBreak/>
        <w:t>integralność danych (ochrona przed modyfikacją lub usunięciem przez osoby nieuprawnione),</w:t>
      </w:r>
    </w:p>
    <w:p w14:paraId="15E4C79E"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poufność danych (szyfrowanie danych „w spoczynku” i podczas transmisji, kontrola dostępu),</w:t>
      </w:r>
    </w:p>
    <w:p w14:paraId="04CABE89"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rozliczalność dostępu (rejestrowanie informacji o odczycie, eksporcie lub usunięciu danych przez użytkowników uprawnionych).</w:t>
      </w:r>
    </w:p>
    <w:p w14:paraId="70FC41D8" w14:textId="77777777" w:rsidR="000D7E73" w:rsidRPr="006B74DF" w:rsidRDefault="000D7E73" w:rsidP="000D7E73">
      <w:pPr>
        <w:pStyle w:val="Akapitzlist"/>
        <w:numPr>
          <w:ilvl w:val="1"/>
          <w:numId w:val="5"/>
        </w:numPr>
        <w:spacing w:after="0" w:line="240" w:lineRule="auto"/>
        <w:rPr>
          <w:rFonts w:ascii="Calibri" w:eastAsia="Times New Roman" w:hAnsi="Calibri" w:cs="Calibri"/>
          <w:color w:val="000000"/>
          <w:lang w:eastAsia="pl-PL"/>
        </w:rPr>
      </w:pPr>
      <w:r>
        <w:t>Dostęp do logów, danych o incydentach i konfiguracji systemów SIEM może być przyznany wyłącznie:</w:t>
      </w:r>
    </w:p>
    <w:p w14:paraId="1876DE87"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upoważnionym pracownikom Wykonawcy,</w:t>
      </w:r>
    </w:p>
    <w:p w14:paraId="2343999E"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upoważnionym pracownikom Zamawiającego,</w:t>
      </w:r>
    </w:p>
    <w:p w14:paraId="7368FB31"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zgodnie z nadanymi rolami i uprawnieniami oraz z zachowaniem zasady minimalnych uprawnień niezbędnych do realizacji zadań.</w:t>
      </w:r>
    </w:p>
    <w:p w14:paraId="1D797ADE" w14:textId="77777777" w:rsidR="000D7E73" w:rsidRPr="006B74DF" w:rsidRDefault="000D7E73" w:rsidP="000D7E73">
      <w:pPr>
        <w:pStyle w:val="Akapitzlist"/>
        <w:numPr>
          <w:ilvl w:val="1"/>
          <w:numId w:val="5"/>
        </w:numPr>
        <w:spacing w:after="0" w:line="240" w:lineRule="auto"/>
        <w:rPr>
          <w:rFonts w:ascii="Calibri" w:eastAsia="Times New Roman" w:hAnsi="Calibri" w:cs="Calibri"/>
          <w:color w:val="000000"/>
          <w:lang w:eastAsia="pl-PL"/>
        </w:rPr>
      </w:pPr>
      <w:r>
        <w:t>Wszystkie logi i dane przetwarzane w ramach usługi SOC muszą być przechowywane:</w:t>
      </w:r>
    </w:p>
    <w:p w14:paraId="586B580F"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w granicach Europejskiego Obszaru Gospodarczego,</w:t>
      </w:r>
    </w:p>
    <w:p w14:paraId="291E273E"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w lokalizacjach spełniających wymagania w zakresie bezpieczeństwa fizycznego i teleinformatycznego,</w:t>
      </w:r>
    </w:p>
    <w:p w14:paraId="04D44FAB" w14:textId="77777777" w:rsidR="000D7E73" w:rsidRPr="006B74DF" w:rsidRDefault="000D7E73" w:rsidP="000D7E73">
      <w:pPr>
        <w:pStyle w:val="Akapitzlist"/>
        <w:numPr>
          <w:ilvl w:val="2"/>
          <w:numId w:val="5"/>
        </w:numPr>
        <w:spacing w:after="0" w:line="240" w:lineRule="auto"/>
        <w:rPr>
          <w:rFonts w:ascii="Calibri" w:eastAsia="Times New Roman" w:hAnsi="Calibri" w:cs="Calibri"/>
          <w:color w:val="000000"/>
          <w:lang w:eastAsia="pl-PL"/>
        </w:rPr>
      </w:pPr>
      <w:r>
        <w:t>zgodnie z przepisami prawa powszechnie obowiązującego oraz wewnętrznymi regulacjami Zamawiającego w zakresie ochrony danych.</w:t>
      </w:r>
    </w:p>
    <w:p w14:paraId="6000F3F0" w14:textId="77777777" w:rsidR="000D7E73" w:rsidRPr="006B74DF" w:rsidRDefault="000D7E73" w:rsidP="000D7E73">
      <w:pPr>
        <w:pStyle w:val="Akapitzlist"/>
        <w:numPr>
          <w:ilvl w:val="1"/>
          <w:numId w:val="5"/>
        </w:numPr>
        <w:spacing w:after="0" w:line="240" w:lineRule="auto"/>
        <w:rPr>
          <w:rFonts w:ascii="Calibri" w:eastAsia="Times New Roman" w:hAnsi="Calibri" w:cs="Calibri"/>
          <w:color w:val="000000"/>
          <w:lang w:eastAsia="pl-PL"/>
        </w:rPr>
      </w:pPr>
      <w:r>
        <w:t>Po zakończeniu świadczenia usług Wykonawca:</w:t>
      </w:r>
    </w:p>
    <w:p w14:paraId="1F9B2D75" w14:textId="77777777" w:rsidR="000D7E73" w:rsidRPr="00C06B17" w:rsidRDefault="000D7E73" w:rsidP="000D7E73">
      <w:pPr>
        <w:pStyle w:val="Akapitzlist"/>
        <w:numPr>
          <w:ilvl w:val="2"/>
          <w:numId w:val="5"/>
        </w:numPr>
        <w:spacing w:after="0" w:line="240" w:lineRule="auto"/>
        <w:rPr>
          <w:rFonts w:ascii="Calibri" w:eastAsia="Times New Roman" w:hAnsi="Calibri" w:cs="Calibri"/>
          <w:color w:val="000000"/>
          <w:lang w:eastAsia="pl-PL"/>
        </w:rPr>
      </w:pPr>
      <w:r>
        <w:t>przekaże Zamawiającemu, w uzgodnionym formacie (np. syslog/CEF/CSV/arkusze raportowe), logi i dane niezbędne do dalszego utrzymania ciągłości bezpieczeństwa i analizy historycznej,</w:t>
      </w:r>
    </w:p>
    <w:p w14:paraId="1F2BB13B" w14:textId="77777777" w:rsidR="000D7E73" w:rsidRPr="00C06B17" w:rsidRDefault="000D7E73" w:rsidP="000D7E73">
      <w:pPr>
        <w:pStyle w:val="Akapitzlist"/>
        <w:numPr>
          <w:ilvl w:val="2"/>
          <w:numId w:val="5"/>
        </w:numPr>
        <w:spacing w:after="0" w:line="240" w:lineRule="auto"/>
        <w:rPr>
          <w:rFonts w:ascii="Calibri" w:eastAsia="Times New Roman" w:hAnsi="Calibri" w:cs="Calibri"/>
          <w:color w:val="000000"/>
          <w:lang w:eastAsia="pl-PL"/>
        </w:rPr>
      </w:pPr>
      <w:r>
        <w:t>usunie lub trwale zanonimizuje wszystkie logi i dane Zamawiającego przechowywane w swojej infrastrukturze,</w:t>
      </w:r>
    </w:p>
    <w:p w14:paraId="6A3AE219" w14:textId="77777777" w:rsidR="000D7E73" w:rsidRPr="00C06B17" w:rsidRDefault="000D7E73" w:rsidP="000D7E73">
      <w:pPr>
        <w:pStyle w:val="Akapitzlist"/>
        <w:numPr>
          <w:ilvl w:val="2"/>
          <w:numId w:val="5"/>
        </w:numPr>
        <w:spacing w:after="0" w:line="240" w:lineRule="auto"/>
        <w:rPr>
          <w:rFonts w:ascii="Calibri" w:eastAsia="Times New Roman" w:hAnsi="Calibri" w:cs="Calibri"/>
          <w:color w:val="000000"/>
          <w:lang w:eastAsia="pl-PL"/>
        </w:rPr>
      </w:pPr>
      <w:r>
        <w:t>potwierdzi wykonanie czynności, o których mowa w lit. b, protokołem przekazania/likwidacji danych, podpisanym przez upoważnionych przedstawicieli obu Stron.</w:t>
      </w:r>
    </w:p>
    <w:p w14:paraId="7000C5BA" w14:textId="77777777" w:rsidR="000D7E73" w:rsidRPr="006F7EED" w:rsidRDefault="000D7E73" w:rsidP="000D7E73">
      <w:pPr>
        <w:pStyle w:val="Akapitzlist"/>
        <w:numPr>
          <w:ilvl w:val="1"/>
          <w:numId w:val="5"/>
        </w:numPr>
        <w:spacing w:after="0" w:line="240" w:lineRule="auto"/>
        <w:rPr>
          <w:rFonts w:ascii="Calibri" w:eastAsia="Times New Roman" w:hAnsi="Calibri" w:cs="Calibri"/>
          <w:color w:val="000000"/>
          <w:lang w:eastAsia="pl-PL"/>
        </w:rPr>
      </w:pPr>
      <w:r>
        <w:t>Szczegółowe zasady retencji logów, ich klasyfikacji, anonimizacji oraz zakresu przekazywanych danych końcowych mogą zostać doprecyzowane w umowie lub w uzgodnionej procedurze operacyjnej (np. instrukcji współpracy SOC–Zamawiający).</w:t>
      </w:r>
    </w:p>
    <w:p w14:paraId="68AE58F1" w14:textId="77777777" w:rsidR="000D7E73" w:rsidRDefault="000D7E73" w:rsidP="000D7E73">
      <w:pPr>
        <w:pStyle w:val="Akapitzlist"/>
        <w:spacing w:after="0" w:line="240" w:lineRule="auto"/>
        <w:ind w:left="1068"/>
        <w:rPr>
          <w:rFonts w:ascii="Calibri" w:eastAsia="Times New Roman" w:hAnsi="Calibri" w:cs="Calibri"/>
          <w:color w:val="000000"/>
          <w:lang w:eastAsia="pl-PL"/>
        </w:rPr>
      </w:pPr>
    </w:p>
    <w:p w14:paraId="039716CE" w14:textId="77777777" w:rsidR="000D7E73" w:rsidRDefault="000D7E73" w:rsidP="000D7E73">
      <w:pPr>
        <w:spacing w:after="0" w:line="240" w:lineRule="auto"/>
        <w:rPr>
          <w:rFonts w:ascii="Calibri" w:eastAsia="Times New Roman" w:hAnsi="Calibri" w:cs="Calibri"/>
          <w:b/>
          <w:bCs/>
          <w:color w:val="000000"/>
          <w:sz w:val="24"/>
          <w:szCs w:val="24"/>
          <w:lang w:eastAsia="pl-PL"/>
        </w:rPr>
      </w:pPr>
    </w:p>
    <w:p w14:paraId="56529CF9" w14:textId="77777777" w:rsidR="000D7E73" w:rsidRPr="009B0159" w:rsidRDefault="000D7E73" w:rsidP="000D7E73">
      <w:pPr>
        <w:spacing w:after="0" w:line="240" w:lineRule="auto"/>
        <w:rPr>
          <w:rFonts w:ascii="Calibri" w:eastAsia="Times New Roman" w:hAnsi="Calibri" w:cs="Calibri"/>
          <w:b/>
          <w:bCs/>
          <w:color w:val="000000"/>
          <w:sz w:val="24"/>
          <w:szCs w:val="24"/>
          <w:lang w:eastAsia="pl-PL"/>
        </w:rPr>
      </w:pPr>
      <w:r w:rsidRPr="009B0159">
        <w:rPr>
          <w:rFonts w:ascii="Calibri" w:eastAsia="Times New Roman" w:hAnsi="Calibri" w:cs="Calibri"/>
          <w:b/>
          <w:bCs/>
          <w:color w:val="000000"/>
          <w:sz w:val="24"/>
          <w:szCs w:val="24"/>
          <w:lang w:eastAsia="pl-PL"/>
        </w:rPr>
        <w:t>Część 2</w:t>
      </w:r>
    </w:p>
    <w:p w14:paraId="3A5CE8E1" w14:textId="77777777" w:rsidR="000D7E73" w:rsidRDefault="000D7E73" w:rsidP="000D7E73">
      <w:pPr>
        <w:rPr>
          <w:rFonts w:ascii="Calibri" w:eastAsia="Times New Roman" w:hAnsi="Calibri" w:cs="Calibri"/>
          <w:color w:val="000000"/>
          <w:lang w:eastAsia="pl-PL"/>
        </w:rPr>
      </w:pPr>
    </w:p>
    <w:p w14:paraId="195ED336" w14:textId="77777777" w:rsidR="000D7E73" w:rsidRDefault="000D7E73" w:rsidP="000D7E73">
      <w:pPr>
        <w:rPr>
          <w:rFonts w:ascii="Calibri" w:eastAsia="Times New Roman" w:hAnsi="Calibri" w:cs="Calibri"/>
          <w:color w:val="000000"/>
          <w:lang w:eastAsia="pl-PL"/>
        </w:rPr>
      </w:pPr>
      <w:r>
        <w:rPr>
          <w:rFonts w:ascii="Calibri" w:eastAsia="Times New Roman" w:hAnsi="Calibri" w:cs="Calibri"/>
          <w:color w:val="000000"/>
          <w:lang w:eastAsia="pl-PL"/>
        </w:rPr>
        <w:t>Audyt i analiza infrastruktury Zamawiającego</w:t>
      </w:r>
    </w:p>
    <w:p w14:paraId="65D97F6E" w14:textId="77777777" w:rsidR="000D7E73" w:rsidRDefault="000D7E73" w:rsidP="000D7E73">
      <w:pPr>
        <w:pStyle w:val="Akapitzlist"/>
        <w:numPr>
          <w:ilvl w:val="0"/>
          <w:numId w:val="7"/>
        </w:numPr>
      </w:pPr>
      <w:r>
        <w:t>Przeprowadzenie audytu i analizy infrastruktury Zamawiającego, a w szczególności:</w:t>
      </w:r>
    </w:p>
    <w:p w14:paraId="63FA7D5E" w14:textId="77777777" w:rsidR="000D7E73" w:rsidRDefault="000D7E73" w:rsidP="000D7E73">
      <w:pPr>
        <w:pStyle w:val="Akapitzlist"/>
        <w:numPr>
          <w:ilvl w:val="1"/>
          <w:numId w:val="7"/>
        </w:numPr>
      </w:pPr>
      <w:r>
        <w:t xml:space="preserve">audyt infrastruktury Zamawiającego dostępnej z </w:t>
      </w:r>
      <w:proofErr w:type="gramStart"/>
      <w:r>
        <w:t>Internetu,  w</w:t>
      </w:r>
      <w:proofErr w:type="gramEnd"/>
      <w:r>
        <w:t xml:space="preserve"> tym wskazanie portów, usług, systemów itp. dostępnych z Internetu,</w:t>
      </w:r>
    </w:p>
    <w:p w14:paraId="1BA87A42" w14:textId="77777777" w:rsidR="000D7E73" w:rsidRDefault="000D7E73" w:rsidP="000D7E73">
      <w:pPr>
        <w:pStyle w:val="Akapitzlist"/>
        <w:numPr>
          <w:ilvl w:val="1"/>
          <w:numId w:val="7"/>
        </w:numPr>
      </w:pPr>
      <w:r>
        <w:t>ustalenie systemów kluczowych oraz systemów priorytetowych z punktu widzenia bezpieczeństwa,</w:t>
      </w:r>
    </w:p>
    <w:p w14:paraId="2966FA2A" w14:textId="77777777" w:rsidR="000D7E73" w:rsidRDefault="000D7E73" w:rsidP="000D7E73">
      <w:pPr>
        <w:pStyle w:val="Akapitzlist"/>
        <w:numPr>
          <w:ilvl w:val="1"/>
          <w:numId w:val="7"/>
        </w:numPr>
      </w:pPr>
      <w:r>
        <w:t>audyt podatności systemów Zamawiającego,</w:t>
      </w:r>
    </w:p>
    <w:p w14:paraId="6E97DBF8" w14:textId="77777777" w:rsidR="000D7E73" w:rsidRDefault="000D7E73" w:rsidP="000D7E73">
      <w:pPr>
        <w:pStyle w:val="Akapitzlist"/>
        <w:numPr>
          <w:ilvl w:val="1"/>
          <w:numId w:val="7"/>
        </w:numPr>
      </w:pPr>
      <w:r>
        <w:t>wskazanie innych istotnych z poziomu cyberbezpieczeństwa systemów/obszarów w infrastrukturze Zamawiającego</w:t>
      </w:r>
    </w:p>
    <w:p w14:paraId="52DEBA92" w14:textId="77777777" w:rsidR="000D7E73" w:rsidRDefault="000D7E73" w:rsidP="000D7E73">
      <w:pPr>
        <w:pStyle w:val="Akapitzlist"/>
        <w:numPr>
          <w:ilvl w:val="0"/>
          <w:numId w:val="7"/>
        </w:numPr>
      </w:pPr>
      <w:r>
        <w:t>Raport z audytu</w:t>
      </w:r>
    </w:p>
    <w:p w14:paraId="45A84815" w14:textId="77777777" w:rsidR="000D7E73" w:rsidRDefault="000D7E73" w:rsidP="000D7E73">
      <w:pPr>
        <w:pStyle w:val="Akapitzlist"/>
      </w:pPr>
      <w:r>
        <w:t>Wykonawca przygotuje raport z audytu i analizy, obejmujący co najmniej:</w:t>
      </w:r>
    </w:p>
    <w:p w14:paraId="63E22DAF" w14:textId="77777777" w:rsidR="000D7E73" w:rsidRDefault="000D7E73" w:rsidP="000D7E73">
      <w:pPr>
        <w:pStyle w:val="Akapitzlist"/>
        <w:numPr>
          <w:ilvl w:val="1"/>
          <w:numId w:val="7"/>
        </w:numPr>
      </w:pPr>
      <w:r>
        <w:t>- zakres audytowanej infrastruktury,</w:t>
      </w:r>
    </w:p>
    <w:p w14:paraId="76FF8D87" w14:textId="77777777" w:rsidR="000D7E73" w:rsidRDefault="000D7E73" w:rsidP="000D7E73">
      <w:pPr>
        <w:pStyle w:val="Akapitzlist"/>
        <w:numPr>
          <w:ilvl w:val="1"/>
          <w:numId w:val="7"/>
        </w:numPr>
      </w:pPr>
      <w:r>
        <w:t>- wykaz zidentyfikowanych podatności i nieprawidłowości,</w:t>
      </w:r>
    </w:p>
    <w:p w14:paraId="44E57705" w14:textId="77777777" w:rsidR="000D7E73" w:rsidRDefault="000D7E73" w:rsidP="000D7E73">
      <w:pPr>
        <w:pStyle w:val="Akapitzlist"/>
        <w:numPr>
          <w:ilvl w:val="1"/>
          <w:numId w:val="7"/>
        </w:numPr>
      </w:pPr>
      <w:r>
        <w:t>- rekomendacje dotyczące mitygacji zagrożeń oraz zabezpieczenia infrastruktury,</w:t>
      </w:r>
    </w:p>
    <w:p w14:paraId="3213C1C6" w14:textId="77777777" w:rsidR="000D7E73" w:rsidRDefault="000D7E73" w:rsidP="000D7E73">
      <w:pPr>
        <w:pStyle w:val="Akapitzlist"/>
        <w:numPr>
          <w:ilvl w:val="1"/>
          <w:numId w:val="7"/>
        </w:numPr>
      </w:pPr>
      <w:r>
        <w:lastRenderedPageBreak/>
        <w:t>- wskazanie potencjalnych wektorów wejścia dla atakujących,</w:t>
      </w:r>
    </w:p>
    <w:p w14:paraId="3AFDA34B" w14:textId="77777777" w:rsidR="000D7E73" w:rsidRDefault="000D7E73" w:rsidP="000D7E73">
      <w:pPr>
        <w:pStyle w:val="Akapitzlist"/>
        <w:numPr>
          <w:ilvl w:val="1"/>
          <w:numId w:val="7"/>
        </w:numPr>
      </w:pPr>
      <w:r>
        <w:t>- rekomendacje dotyczące priorytetyzacji podłączania systemów do SIEM oraz rozszerzania monitoringu.</w:t>
      </w:r>
    </w:p>
    <w:p w14:paraId="2F6E5056" w14:textId="77777777" w:rsidR="000D7E73" w:rsidRPr="00091AB1" w:rsidRDefault="000D7E73" w:rsidP="000D7E73">
      <w:pPr>
        <w:pStyle w:val="Akapitzlist"/>
        <w:ind w:left="1440"/>
      </w:pPr>
    </w:p>
    <w:p w14:paraId="6CA3BCCE" w14:textId="30844A9F" w:rsidR="00CA528F" w:rsidRPr="00B93AFC" w:rsidRDefault="00CA528F" w:rsidP="00B93AFC"/>
    <w:sectPr w:rsidR="00CA528F" w:rsidRPr="00B93A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D79F" w14:textId="77777777" w:rsidR="003A42A2" w:rsidRDefault="003A42A2" w:rsidP="00CB5E91">
      <w:pPr>
        <w:spacing w:after="0" w:line="240" w:lineRule="auto"/>
      </w:pPr>
      <w:r>
        <w:separator/>
      </w:r>
    </w:p>
  </w:endnote>
  <w:endnote w:type="continuationSeparator" w:id="0">
    <w:p w14:paraId="1876F446" w14:textId="77777777" w:rsidR="003A42A2" w:rsidRDefault="003A42A2" w:rsidP="00CB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667E" w14:textId="77777777" w:rsidR="003A42A2" w:rsidRDefault="003A42A2" w:rsidP="00CB5E91">
      <w:pPr>
        <w:spacing w:after="0" w:line="240" w:lineRule="auto"/>
      </w:pPr>
      <w:r>
        <w:separator/>
      </w:r>
    </w:p>
  </w:footnote>
  <w:footnote w:type="continuationSeparator" w:id="0">
    <w:p w14:paraId="5F23CFED" w14:textId="77777777" w:rsidR="003A42A2" w:rsidRDefault="003A42A2" w:rsidP="00CB5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EC27" w14:textId="029CEC69" w:rsidR="00CB5E91" w:rsidRPr="00CB5E91" w:rsidRDefault="00CB5E91" w:rsidP="00CB5E91">
    <w:pPr>
      <w:pStyle w:val="Nagwek"/>
    </w:pPr>
    <w:r>
      <w:rPr>
        <w:noProof/>
      </w:rPr>
      <w:drawing>
        <wp:inline distT="0" distB="0" distL="0" distR="0" wp14:anchorId="53DB4A98" wp14:editId="59262806">
          <wp:extent cx="5760720" cy="572707"/>
          <wp:effectExtent l="0" t="0" r="0" b="0"/>
          <wp:docPr id="18693053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27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3C16"/>
    <w:multiLevelType w:val="hybridMultilevel"/>
    <w:tmpl w:val="02FA9718"/>
    <w:lvl w:ilvl="0" w:tplc="0415000F">
      <w:start w:val="1"/>
      <w:numFmt w:val="decimal"/>
      <w:lvlText w:val="%1."/>
      <w:lvlJc w:val="left"/>
      <w:pPr>
        <w:ind w:left="720" w:hanging="360"/>
      </w:pPr>
    </w:lvl>
    <w:lvl w:ilvl="1" w:tplc="1FCC5758">
      <w:start w:val="1"/>
      <w:numFmt w:val="decimal"/>
      <w:lvlText w:val="%2)"/>
      <w:lvlJc w:val="left"/>
      <w:pPr>
        <w:ind w:left="1068" w:hanging="360"/>
      </w:pPr>
      <w:rPr>
        <w:rFonts w:hint="default"/>
      </w:rPr>
    </w:lvl>
    <w:lvl w:ilvl="2" w:tplc="7F52E0E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4877B2"/>
    <w:multiLevelType w:val="hybridMultilevel"/>
    <w:tmpl w:val="4642D3B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1B54C9C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330CD5"/>
    <w:multiLevelType w:val="hybridMultilevel"/>
    <w:tmpl w:val="9F1A3428"/>
    <w:lvl w:ilvl="0" w:tplc="04150011">
      <w:start w:val="1"/>
      <w:numFmt w:val="decimal"/>
      <w:lvlText w:val="%1)"/>
      <w:lvlJc w:val="left"/>
      <w:pPr>
        <w:ind w:left="1440" w:hanging="360"/>
      </w:pPr>
    </w:lvl>
    <w:lvl w:ilvl="1" w:tplc="1FCC5758">
      <w:start w:val="1"/>
      <w:numFmt w:val="decimal"/>
      <w:lvlText w:val="%2)"/>
      <w:lvlJc w:val="left"/>
      <w:pPr>
        <w:ind w:left="1068"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A5488B"/>
    <w:multiLevelType w:val="hybridMultilevel"/>
    <w:tmpl w:val="A1F83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98009C"/>
    <w:multiLevelType w:val="hybridMultilevel"/>
    <w:tmpl w:val="119A9F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D60940"/>
    <w:multiLevelType w:val="hybridMultilevel"/>
    <w:tmpl w:val="27507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9B92BF2"/>
    <w:multiLevelType w:val="hybridMultilevel"/>
    <w:tmpl w:val="22461F0A"/>
    <w:lvl w:ilvl="0" w:tplc="1FCC5758">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56800932">
    <w:abstractNumId w:val="5"/>
  </w:num>
  <w:num w:numId="2" w16cid:durableId="2075855244">
    <w:abstractNumId w:val="3"/>
  </w:num>
  <w:num w:numId="3" w16cid:durableId="1030767540">
    <w:abstractNumId w:val="6"/>
  </w:num>
  <w:num w:numId="4" w16cid:durableId="1690524629">
    <w:abstractNumId w:val="1"/>
  </w:num>
  <w:num w:numId="5" w16cid:durableId="1818259491">
    <w:abstractNumId w:val="0"/>
  </w:num>
  <w:num w:numId="6" w16cid:durableId="305621757">
    <w:abstractNumId w:val="2"/>
  </w:num>
  <w:num w:numId="7" w16cid:durableId="1969821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8F"/>
    <w:rsid w:val="000B2330"/>
    <w:rsid w:val="000D7E73"/>
    <w:rsid w:val="0013259B"/>
    <w:rsid w:val="00186BBF"/>
    <w:rsid w:val="00240501"/>
    <w:rsid w:val="0026669B"/>
    <w:rsid w:val="003A42A2"/>
    <w:rsid w:val="004D4534"/>
    <w:rsid w:val="004F7B49"/>
    <w:rsid w:val="00540C07"/>
    <w:rsid w:val="00541C31"/>
    <w:rsid w:val="00617AF0"/>
    <w:rsid w:val="006B2474"/>
    <w:rsid w:val="0072443B"/>
    <w:rsid w:val="00877788"/>
    <w:rsid w:val="00882A20"/>
    <w:rsid w:val="00997934"/>
    <w:rsid w:val="00B2540D"/>
    <w:rsid w:val="00B93AFC"/>
    <w:rsid w:val="00C3029F"/>
    <w:rsid w:val="00C552B7"/>
    <w:rsid w:val="00CA528F"/>
    <w:rsid w:val="00CB5E91"/>
    <w:rsid w:val="00D669A9"/>
    <w:rsid w:val="00EA7986"/>
    <w:rsid w:val="00EC415D"/>
    <w:rsid w:val="00FB083B"/>
    <w:rsid w:val="00FC4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98F4"/>
  <w15:chartTrackingRefBased/>
  <w15:docId w15:val="{BA25892F-EABE-41C1-8F08-FD2C64FC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5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E91"/>
  </w:style>
  <w:style w:type="paragraph" w:styleId="Stopka">
    <w:name w:val="footer"/>
    <w:basedOn w:val="Normalny"/>
    <w:link w:val="StopkaZnak"/>
    <w:uiPriority w:val="99"/>
    <w:unhideWhenUsed/>
    <w:rsid w:val="00CB5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5E91"/>
  </w:style>
  <w:style w:type="paragraph" w:styleId="Akapitzlist">
    <w:name w:val="List Paragraph"/>
    <w:basedOn w:val="Normalny"/>
    <w:uiPriority w:val="34"/>
    <w:qFormat/>
    <w:rsid w:val="00541C31"/>
    <w:pPr>
      <w:ind w:left="720"/>
      <w:contextualSpacing/>
    </w:pPr>
  </w:style>
  <w:style w:type="paragraph" w:styleId="Bezodstpw">
    <w:name w:val="No Spacing"/>
    <w:uiPriority w:val="1"/>
    <w:qFormat/>
    <w:rsid w:val="000D7E73"/>
    <w:pPr>
      <w:spacing w:after="0" w:line="240" w:lineRule="auto"/>
    </w:pPr>
    <w:rPr>
      <w:kern w:val="2"/>
      <w14:ligatures w14:val="standardContextual"/>
    </w:rPr>
  </w:style>
  <w:style w:type="paragraph" w:styleId="Poprawka">
    <w:name w:val="Revision"/>
    <w:hidden/>
    <w:uiPriority w:val="99"/>
    <w:semiHidden/>
    <w:rsid w:val="00D66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2407</Words>
  <Characters>14448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Jeżak</dc:creator>
  <cp:keywords/>
  <dc:description/>
  <cp:lastModifiedBy>Paweł Orłowski</cp:lastModifiedBy>
  <cp:revision>8</cp:revision>
  <dcterms:created xsi:type="dcterms:W3CDTF">2025-12-14T18:32:00Z</dcterms:created>
  <dcterms:modified xsi:type="dcterms:W3CDTF">2026-01-07T12:01:00Z</dcterms:modified>
</cp:coreProperties>
</file>