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9474F" w14:textId="77777777" w:rsidR="000475D6" w:rsidRDefault="000475D6" w:rsidP="003130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7C1A7E" w14:textId="7147C339" w:rsidR="00103939" w:rsidRPr="00372AFB" w:rsidRDefault="00103939" w:rsidP="003130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2AFB">
        <w:rPr>
          <w:rFonts w:ascii="Times New Roman" w:hAnsi="Times New Roman" w:cs="Times New Roman"/>
          <w:b/>
          <w:bCs/>
          <w:sz w:val="24"/>
          <w:szCs w:val="24"/>
        </w:rPr>
        <w:t xml:space="preserve">Opis przedmiotu </w:t>
      </w:r>
      <w:r w:rsidR="00B717BB">
        <w:rPr>
          <w:rFonts w:ascii="Times New Roman" w:hAnsi="Times New Roman" w:cs="Times New Roman"/>
          <w:b/>
          <w:bCs/>
          <w:sz w:val="24"/>
          <w:szCs w:val="24"/>
        </w:rPr>
        <w:t>szacowania</w:t>
      </w:r>
    </w:p>
    <w:p w14:paraId="00ED49AF" w14:textId="77777777" w:rsidR="00103939" w:rsidRPr="00372AFB" w:rsidRDefault="00103939" w:rsidP="008400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E1DEEE" w14:textId="6AAC021B" w:rsidR="004E1A23" w:rsidRPr="00372AFB" w:rsidRDefault="004E1A23" w:rsidP="0084006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372AFB">
        <w:rPr>
          <w:rFonts w:ascii="Times New Roman" w:hAnsi="Times New Roman" w:cs="Times New Roman"/>
          <w:b/>
          <w:bCs/>
        </w:rPr>
        <w:t>Ser</w:t>
      </w:r>
      <w:r w:rsidR="004C2141" w:rsidRPr="00372AFB">
        <w:rPr>
          <w:rFonts w:ascii="Times New Roman" w:hAnsi="Times New Roman" w:cs="Times New Roman"/>
          <w:b/>
          <w:bCs/>
        </w:rPr>
        <w:t>w</w:t>
      </w:r>
      <w:r w:rsidRPr="00372AFB">
        <w:rPr>
          <w:rFonts w:ascii="Times New Roman" w:hAnsi="Times New Roman" w:cs="Times New Roman"/>
          <w:b/>
          <w:bCs/>
        </w:rPr>
        <w:t>er HV</w:t>
      </w:r>
    </w:p>
    <w:p w14:paraId="795E778E" w14:textId="51EF1B1A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D0FAD">
        <w:rPr>
          <w:rFonts w:ascii="Times New Roman" w:hAnsi="Times New Roman" w:cs="Times New Roman"/>
        </w:rPr>
        <w:t>Obudowa</w:t>
      </w:r>
      <w:r w:rsidR="00103939" w:rsidRPr="006D0FAD">
        <w:rPr>
          <w:rFonts w:ascii="Times New Roman" w:hAnsi="Times New Roman" w:cs="Times New Roman"/>
        </w:rPr>
        <w:t xml:space="preserve"> t</w:t>
      </w:r>
      <w:r w:rsidRPr="006D0FAD">
        <w:rPr>
          <w:rFonts w:ascii="Times New Roman" w:hAnsi="Times New Roman" w:cs="Times New Roman"/>
        </w:rPr>
        <w:t>ypu RACK, wysokość</w:t>
      </w:r>
      <w:r w:rsidRPr="00372AFB">
        <w:rPr>
          <w:rFonts w:ascii="Times New Roman" w:hAnsi="Times New Roman" w:cs="Times New Roman"/>
        </w:rPr>
        <w:t xml:space="preserve"> 2U;</w:t>
      </w:r>
    </w:p>
    <w:p w14:paraId="381D765A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Szyny umożliwiające wysunięcie serwera z szafy stelażowej wraz z ramieniem porządkującym kable z tyłu obudowy;</w:t>
      </w:r>
    </w:p>
    <w:p w14:paraId="5D522699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Możliwość zainstalowania 16 dysków twardych hot plug 2,5”;</w:t>
      </w:r>
    </w:p>
    <w:p w14:paraId="339F957F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Możliwość zainstalowania fizycznego zabezpieczenia (np. na klucz lub elektrozamek) uniemożliwiającego fizyczny dostęp do dysków twardych;</w:t>
      </w:r>
    </w:p>
    <w:p w14:paraId="0C3701C8" w14:textId="34960194" w:rsidR="00E94679" w:rsidRPr="00971994" w:rsidRDefault="00E94679" w:rsidP="00840065">
      <w:pPr>
        <w:spacing w:after="0" w:line="276" w:lineRule="auto"/>
        <w:jc w:val="both"/>
        <w:rPr>
          <w:rFonts w:ascii="Times New Roman" w:hAnsi="Times New Roman" w:cs="Times New Roman"/>
          <w:color w:val="EE0000"/>
        </w:rPr>
      </w:pPr>
      <w:r w:rsidRPr="00372AFB">
        <w:rPr>
          <w:rFonts w:ascii="Times New Roman" w:hAnsi="Times New Roman" w:cs="Times New Roman"/>
        </w:rPr>
        <w:t xml:space="preserve">Zainstalowane </w:t>
      </w:r>
      <w:r w:rsidR="005432D7" w:rsidRPr="00372AFB">
        <w:rPr>
          <w:rFonts w:ascii="Times New Roman" w:hAnsi="Times New Roman" w:cs="Times New Roman"/>
        </w:rPr>
        <w:t>2</w:t>
      </w:r>
      <w:r w:rsidRPr="00372AFB">
        <w:rPr>
          <w:rFonts w:ascii="Times New Roman" w:hAnsi="Times New Roman" w:cs="Times New Roman"/>
        </w:rPr>
        <w:t xml:space="preserve"> szt. dysków SSD SAS 24G  </w:t>
      </w:r>
      <w:r w:rsidR="005432D7" w:rsidRPr="00372AFB">
        <w:rPr>
          <w:rFonts w:ascii="Times New Roman" w:hAnsi="Times New Roman" w:cs="Times New Roman"/>
        </w:rPr>
        <w:t>960 GB</w:t>
      </w:r>
      <w:r w:rsidRPr="00372AFB">
        <w:rPr>
          <w:rFonts w:ascii="Times New Roman" w:hAnsi="Times New Roman" w:cs="Times New Roman"/>
        </w:rPr>
        <w:t xml:space="preserve"> DWPD</w:t>
      </w:r>
      <w:r w:rsidR="00B717BB">
        <w:rPr>
          <w:rFonts w:ascii="Times New Roman" w:hAnsi="Times New Roman" w:cs="Times New Roman"/>
        </w:rPr>
        <w:t>=</w:t>
      </w:r>
      <w:r w:rsidR="003367C5" w:rsidRPr="00372AFB">
        <w:rPr>
          <w:rFonts w:ascii="Times New Roman" w:hAnsi="Times New Roman" w:cs="Times New Roman"/>
        </w:rPr>
        <w:t>1</w:t>
      </w:r>
      <w:r w:rsidRPr="00372AFB">
        <w:rPr>
          <w:rFonts w:ascii="Times New Roman" w:hAnsi="Times New Roman" w:cs="Times New Roman"/>
        </w:rPr>
        <w:t xml:space="preserve"> Hot-Plug</w:t>
      </w:r>
      <w:r w:rsidR="00971994">
        <w:rPr>
          <w:rFonts w:ascii="Times New Roman" w:hAnsi="Times New Roman" w:cs="Times New Roman"/>
        </w:rPr>
        <w:t xml:space="preserve"> </w:t>
      </w:r>
    </w:p>
    <w:p w14:paraId="354C0490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Możliwość zainstalowania dysku M.2 NVMe PCIe4.0 x4;</w:t>
      </w:r>
    </w:p>
    <w:p w14:paraId="04DC973E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Możliwość zainstalowania dedykowanego wewnętrznego napędu LTO-8.</w:t>
      </w:r>
    </w:p>
    <w:p w14:paraId="22337031" w14:textId="6EEA312B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Płyta główna</w:t>
      </w:r>
      <w:r w:rsidR="001F2F28" w:rsidRPr="00372AFB">
        <w:rPr>
          <w:rFonts w:ascii="Times New Roman" w:hAnsi="Times New Roman" w:cs="Times New Roman"/>
        </w:rPr>
        <w:t xml:space="preserve"> d</w:t>
      </w:r>
      <w:r w:rsidRPr="00372AFB">
        <w:rPr>
          <w:rFonts w:ascii="Times New Roman" w:hAnsi="Times New Roman" w:cs="Times New Roman"/>
        </w:rPr>
        <w:t>wuprocesorowa</w:t>
      </w:r>
      <w:r w:rsidR="000D186B" w:rsidRPr="00372AFB">
        <w:rPr>
          <w:rFonts w:ascii="Times New Roman" w:hAnsi="Times New Roman" w:cs="Times New Roman"/>
        </w:rPr>
        <w:t xml:space="preserve"> w</w:t>
      </w:r>
      <w:r w:rsidRPr="00372AFB">
        <w:rPr>
          <w:rFonts w:ascii="Times New Roman" w:hAnsi="Times New Roman" w:cs="Times New Roman"/>
        </w:rPr>
        <w:t>yprodukowana i zaprojektowana przez producenta serwera;</w:t>
      </w:r>
    </w:p>
    <w:p w14:paraId="2A63C325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Możliwość instalacji procesorów 60-rdzeniowych;</w:t>
      </w:r>
    </w:p>
    <w:p w14:paraId="504236E3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Zainstalowany moduł TPM 2.0;</w:t>
      </w:r>
    </w:p>
    <w:p w14:paraId="17407124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6 złącz PCI Express generacji 5 w tym:</w:t>
      </w:r>
    </w:p>
    <w:p w14:paraId="1E414148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4 fizyczne złącza o prędkości x16;</w:t>
      </w:r>
    </w:p>
    <w:p w14:paraId="48721A68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2 fizyczne złącza o prędkości x8;</w:t>
      </w:r>
    </w:p>
    <w:p w14:paraId="5C6BEAE9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Opcjonalnie możliwość uzyskania 2 złącz typu pełnej wysokości;</w:t>
      </w:r>
    </w:p>
    <w:p w14:paraId="331FD266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Opcjonalnie możliwość uzyskania 9 aktywnych interfejsów PCI-e;</w:t>
      </w:r>
    </w:p>
    <w:p w14:paraId="66D76027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32 gniazda pamięci RAM;</w:t>
      </w:r>
    </w:p>
    <w:p w14:paraId="6F90B4D9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Obsługa minimum 8 TB pamięci RAM DDR5;</w:t>
      </w:r>
    </w:p>
    <w:p w14:paraId="1D76CC44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Wsparcie dla technologii:</w:t>
      </w:r>
    </w:p>
    <w:p w14:paraId="718701AD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Memory Scrubbing;</w:t>
      </w:r>
    </w:p>
    <w:p w14:paraId="635833CB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372AFB">
        <w:rPr>
          <w:rFonts w:ascii="Times New Roman" w:hAnsi="Times New Roman" w:cs="Times New Roman"/>
          <w:lang w:val="en-US"/>
        </w:rPr>
        <w:t>SDDC;</w:t>
      </w:r>
    </w:p>
    <w:p w14:paraId="49C7ECF4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372AFB">
        <w:rPr>
          <w:rFonts w:ascii="Times New Roman" w:hAnsi="Times New Roman" w:cs="Times New Roman"/>
          <w:lang w:val="en-US"/>
        </w:rPr>
        <w:t>ECC;</w:t>
      </w:r>
    </w:p>
    <w:p w14:paraId="15DA304C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372AFB">
        <w:rPr>
          <w:rFonts w:ascii="Times New Roman" w:hAnsi="Times New Roman" w:cs="Times New Roman"/>
          <w:lang w:val="en-US"/>
        </w:rPr>
        <w:t>Memory Mirroring;</w:t>
      </w:r>
    </w:p>
    <w:p w14:paraId="6E7B9D69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372AFB">
        <w:rPr>
          <w:rFonts w:ascii="Times New Roman" w:hAnsi="Times New Roman" w:cs="Times New Roman"/>
          <w:lang w:val="en-US"/>
        </w:rPr>
        <w:t>ADDDC;</w:t>
      </w:r>
    </w:p>
    <w:p w14:paraId="1752C221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Możliwość instalacji 2 dysków M.2 na płycie głównej (lub dedykowanej karcie PCI Express)  dyski nie mogą zajmować klatek dla dysków hot-plug.</w:t>
      </w:r>
    </w:p>
    <w:p w14:paraId="5CEE1E90" w14:textId="7B200E16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Procesory</w:t>
      </w:r>
      <w:r w:rsidR="00605098" w:rsidRPr="00372AFB">
        <w:rPr>
          <w:rFonts w:ascii="Times New Roman" w:hAnsi="Times New Roman" w:cs="Times New Roman"/>
        </w:rPr>
        <w:t>:</w:t>
      </w:r>
    </w:p>
    <w:p w14:paraId="12865EA1" w14:textId="4BB609CB" w:rsidR="005A616F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 xml:space="preserve">Dwa procesory </w:t>
      </w:r>
      <w:r w:rsidR="003A6DBA" w:rsidRPr="00372AFB">
        <w:rPr>
          <w:rFonts w:ascii="Times New Roman" w:hAnsi="Times New Roman" w:cs="Times New Roman"/>
        </w:rPr>
        <w:t>32</w:t>
      </w:r>
      <w:r w:rsidRPr="00372AFB">
        <w:rPr>
          <w:rFonts w:ascii="Times New Roman" w:hAnsi="Times New Roman" w:cs="Times New Roman"/>
        </w:rPr>
        <w:t>-rdzeniowe, taktowanie bazowe 2,8 GHz, architektura x86_64</w:t>
      </w:r>
      <w:r w:rsidR="005A616F" w:rsidRPr="00372AFB">
        <w:rPr>
          <w:rFonts w:ascii="Times New Roman" w:hAnsi="Times New Roman" w:cs="Times New Roman"/>
        </w:rPr>
        <w:t>, data  wydane nie wcześniej niż w 2 kwartale 2023 roku;</w:t>
      </w:r>
    </w:p>
    <w:p w14:paraId="0AEA0E7F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Pamięć RAM</w:t>
      </w:r>
    </w:p>
    <w:p w14:paraId="503AC76C" w14:textId="53B4A1E2" w:rsidR="00E94679" w:rsidRPr="00372AFB" w:rsidRDefault="003A6DBA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1024</w:t>
      </w:r>
      <w:r w:rsidR="00E94679" w:rsidRPr="00372AFB">
        <w:rPr>
          <w:rFonts w:ascii="Times New Roman" w:hAnsi="Times New Roman" w:cs="Times New Roman"/>
        </w:rPr>
        <w:t xml:space="preserve"> GB pamięci RAM;</w:t>
      </w:r>
    </w:p>
    <w:p w14:paraId="7A01574B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372AFB">
        <w:rPr>
          <w:rFonts w:ascii="Times New Roman" w:hAnsi="Times New Roman" w:cs="Times New Roman"/>
          <w:lang w:val="en-US"/>
        </w:rPr>
        <w:t>DDR5 Registered 5600MT/s;</w:t>
      </w:r>
    </w:p>
    <w:p w14:paraId="207EC904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372AFB">
        <w:rPr>
          <w:rFonts w:ascii="Times New Roman" w:hAnsi="Times New Roman" w:cs="Times New Roman"/>
          <w:lang w:val="en-US"/>
        </w:rPr>
        <w:t>Kontrolery LAN</w:t>
      </w:r>
    </w:p>
    <w:p w14:paraId="3AF2602A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Interfejsy LAN, nie zajmujące żadnego z dostępnych slotów PCI Express:</w:t>
      </w:r>
    </w:p>
    <w:p w14:paraId="7F60108F" w14:textId="4AA4B6A4" w:rsidR="00E94679" w:rsidRPr="00372AFB" w:rsidRDefault="003367C5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4</w:t>
      </w:r>
      <w:r w:rsidR="00E94679" w:rsidRPr="00372AFB">
        <w:rPr>
          <w:rFonts w:ascii="Times New Roman" w:hAnsi="Times New Roman" w:cs="Times New Roman"/>
        </w:rPr>
        <w:t>x 1</w:t>
      </w:r>
      <w:r w:rsidRPr="00372AFB">
        <w:rPr>
          <w:rFonts w:ascii="Times New Roman" w:hAnsi="Times New Roman" w:cs="Times New Roman"/>
        </w:rPr>
        <w:t xml:space="preserve">0 </w:t>
      </w:r>
      <w:r w:rsidR="00E94679" w:rsidRPr="00372AFB">
        <w:rPr>
          <w:rFonts w:ascii="Times New Roman" w:hAnsi="Times New Roman" w:cs="Times New Roman"/>
        </w:rPr>
        <w:t>Gbit Base-T;</w:t>
      </w:r>
    </w:p>
    <w:p w14:paraId="23682DF8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Możliwość uzyskania dwóch interfejsów 100Gbit QSFP28 bez konieczności instalacji kart w slotach PCIe;</w:t>
      </w:r>
    </w:p>
    <w:p w14:paraId="6EB84BD9" w14:textId="2AA7DD51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 xml:space="preserve">Interfejsy </w:t>
      </w:r>
      <w:r w:rsidR="003367C5" w:rsidRPr="00372AFB">
        <w:rPr>
          <w:rFonts w:ascii="Times New Roman" w:hAnsi="Times New Roman" w:cs="Times New Roman"/>
        </w:rPr>
        <w:t>SAN</w:t>
      </w:r>
      <w:r w:rsidRPr="00372AFB">
        <w:rPr>
          <w:rFonts w:ascii="Times New Roman" w:hAnsi="Times New Roman" w:cs="Times New Roman"/>
        </w:rPr>
        <w:t xml:space="preserve"> zainstalowane w slotach PCI-e</w:t>
      </w:r>
      <w:r w:rsidR="00274011">
        <w:rPr>
          <w:rFonts w:ascii="Times New Roman" w:hAnsi="Times New Roman" w:cs="Times New Roman"/>
        </w:rPr>
        <w:t xml:space="preserve"> wraz z wkładkami</w:t>
      </w:r>
      <w:r w:rsidRPr="00372AFB">
        <w:rPr>
          <w:rFonts w:ascii="Times New Roman" w:hAnsi="Times New Roman" w:cs="Times New Roman"/>
        </w:rPr>
        <w:t>:</w:t>
      </w:r>
    </w:p>
    <w:p w14:paraId="2F42ABFC" w14:textId="5C527E99" w:rsidR="00E94679" w:rsidRDefault="00450656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F5AD7">
        <w:rPr>
          <w:rFonts w:ascii="Times New Roman" w:hAnsi="Times New Roman" w:cs="Times New Roman"/>
        </w:rPr>
        <w:t xml:space="preserve">2x </w:t>
      </w:r>
      <w:r w:rsidR="00015811">
        <w:rPr>
          <w:rFonts w:ascii="Times New Roman" w:hAnsi="Times New Roman" w:cs="Times New Roman"/>
        </w:rPr>
        <w:t>16</w:t>
      </w:r>
      <w:r w:rsidRPr="00BF5AD7">
        <w:rPr>
          <w:rFonts w:ascii="Times New Roman" w:hAnsi="Times New Roman" w:cs="Times New Roman"/>
        </w:rPr>
        <w:t xml:space="preserve"> Gbit SFP+ MMF</w:t>
      </w:r>
      <w:r w:rsidR="00515ED4" w:rsidRPr="00BF5AD7">
        <w:rPr>
          <w:rFonts w:ascii="Times New Roman" w:hAnsi="Times New Roman" w:cs="Times New Roman"/>
        </w:rPr>
        <w:t>;</w:t>
      </w:r>
    </w:p>
    <w:p w14:paraId="2BCCA89B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Kontrolery I/O</w:t>
      </w:r>
    </w:p>
    <w:p w14:paraId="656D15C7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lastRenderedPageBreak/>
        <w:t>Kontroler SAS RAID dla dysków wewnętrznych posiadający 8GB pamięci cache, obsługujący poziomy RAID: 0,1,10,5,50,6,60 z podtrzymaniem pamięci cache w przypadku utraty zasilania;</w:t>
      </w:r>
    </w:p>
    <w:p w14:paraId="24E95A79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Porty</w:t>
      </w:r>
    </w:p>
    <w:p w14:paraId="27408C01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Zintegrowana karta graficzna ze złączem VGA z tyłu serwera;</w:t>
      </w:r>
    </w:p>
    <w:p w14:paraId="7247D71B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1 porty USB 3.0 wewnętrzny;</w:t>
      </w:r>
    </w:p>
    <w:p w14:paraId="4914115B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2 porty USB 3.0 dostępne z tyłu serwera;</w:t>
      </w:r>
    </w:p>
    <w:p w14:paraId="21EAB54A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2 porty USB 3.0 na panelu przednim;</w:t>
      </w:r>
    </w:p>
    <w:p w14:paraId="44399A92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Opcjonalny port serial, możliwość wykorzystania portu serial do zarządzania serwerem;</w:t>
      </w:r>
    </w:p>
    <w:p w14:paraId="70EB9FD7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Ilość dostępnych złącz USB nie może być osiągnięta poprzez stosowanie zewnętrznych przejściówek, rozgałęziaczy czy dodatkowych kart rozszerzeń zajmujących jakikolwiek slot PCI Express i/lub USB serwera.</w:t>
      </w:r>
    </w:p>
    <w:p w14:paraId="1A5FDBEA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Zasilanie, chłodzenie</w:t>
      </w:r>
    </w:p>
    <w:p w14:paraId="6A846D8E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Redundantne zasilacze hotplug o sprawności 96% (tzw. klasa Titanium) o mocy 900W;</w:t>
      </w:r>
    </w:p>
    <w:p w14:paraId="756BE0B6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Redundantne wentylatory hotplug.</w:t>
      </w:r>
    </w:p>
    <w:p w14:paraId="4698972F" w14:textId="5CB3FC2B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Zarządzanie</w:t>
      </w:r>
      <w:r w:rsidR="00605098" w:rsidRPr="00372AFB">
        <w:rPr>
          <w:rFonts w:ascii="Times New Roman" w:hAnsi="Times New Roman" w:cs="Times New Roman"/>
        </w:rPr>
        <w:t>:</w:t>
      </w:r>
    </w:p>
    <w:p w14:paraId="66ECC3A8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Wbudowane diody informacyjne lub wyświetlacz informujące o stanie serwera - system przewidywania, rozpoznawania awarii;</w:t>
      </w:r>
    </w:p>
    <w:p w14:paraId="241AFF37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informacja o statusie pracy (poprawny, przewidywana usterka lub usterka) następujących komponentów:</w:t>
      </w:r>
    </w:p>
    <w:p w14:paraId="3ABDAC22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karty rozszerzeń zainstalowane w dowolnym  slocie PCI Express;</w:t>
      </w:r>
    </w:p>
    <w:p w14:paraId="19817550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procesory CPU;</w:t>
      </w:r>
    </w:p>
    <w:p w14:paraId="167E3331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pamięć RAM z dokładnością umożliwiającą jednoznaczną identyfikację uszkodzonego modułu pamięci RAM;</w:t>
      </w:r>
    </w:p>
    <w:p w14:paraId="027E89F7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status karty zarządzającej serwera;</w:t>
      </w:r>
    </w:p>
    <w:p w14:paraId="4B7F6DD2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wentylatory;</w:t>
      </w:r>
    </w:p>
    <w:p w14:paraId="72A4E7C2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bateria podtrzymująca ustawienia BIOS płyty głównej;</w:t>
      </w:r>
    </w:p>
    <w:p w14:paraId="3B5BDF7C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zasilacze;</w:t>
      </w:r>
    </w:p>
    <w:p w14:paraId="4E996200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system przewidywania/rozpoznawania awarii musi być niezależny i działać w przypadku odłączenia kabli zasilających serwera (podtrzymywany kondensatorowo lub bateryjnie w celu uruchomienia przy odłączonym zasilaniu sieciowym);</w:t>
      </w:r>
    </w:p>
    <w:p w14:paraId="6D517E8D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Zintegrowany z płytą główną serwera kontroler sprzętowy zdalnego zarządzania zgodny z IPMI 2.0 o funkcjonalnościach:</w:t>
      </w:r>
    </w:p>
    <w:p w14:paraId="6A70DE48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Niezależny od systemu operacyjnego, sprzętowy kontroler umożliwiający pełne zarządzanie, zdalny restart serwera;</w:t>
      </w:r>
    </w:p>
    <w:p w14:paraId="070C6220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Dedykowana karta LAN 1 Gb/s, dedykowane złącze RJ-45 do komunikacji wyłącznie z kontrolerem zdalnego zarządzania z możliwością przeniesienia tej komunikacji na inną kartę sieciową współdzieloną z systemem operacyjnym;</w:t>
      </w:r>
    </w:p>
    <w:p w14:paraId="011D23AB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Dostęp poprzez przeglądarkę Web, SSH;</w:t>
      </w:r>
    </w:p>
    <w:p w14:paraId="55EE19E2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Zarządzanie mocą i jej zużyciem oraz monitoring zużycia energii;</w:t>
      </w:r>
    </w:p>
    <w:p w14:paraId="2A63C6E0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Zarządzanie alarmami (zdarzenia poprzez SNMP);</w:t>
      </w:r>
    </w:p>
    <w:p w14:paraId="50D14129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Możliwość przejęcia konsoli tekstowej;</w:t>
      </w:r>
    </w:p>
    <w:p w14:paraId="06BDAE2B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Przekierowanie konsoli graficznej na poziomie sprzętowym oraz możliwość montowania zdalnych napędów i ich obrazów na poziomie sprzętowym (cyfrowy KVM);</w:t>
      </w:r>
    </w:p>
    <w:p w14:paraId="35CF6D28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Obsługa serwerów proxy (autentykacja);</w:t>
      </w:r>
    </w:p>
    <w:p w14:paraId="719B6095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Obsługa VLAN;</w:t>
      </w:r>
    </w:p>
    <w:p w14:paraId="70D53826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Możliwość konfiguracji parametru Max. Transmission Unit (MTU);</w:t>
      </w:r>
    </w:p>
    <w:p w14:paraId="3ED80C1B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Wsparcie dla protokołu SSDP;</w:t>
      </w:r>
    </w:p>
    <w:p w14:paraId="01553CDB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Obsługa protokołów TLS 1.2, SSL v3;</w:t>
      </w:r>
    </w:p>
    <w:p w14:paraId="3E0C5741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lastRenderedPageBreak/>
        <w:t>Obsługa protokołu LDAP;</w:t>
      </w:r>
    </w:p>
    <w:p w14:paraId="7A7C2D35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Synchronizacja czasu poprzez protokół NTP;</w:t>
      </w:r>
    </w:p>
    <w:p w14:paraId="08DF3255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Możliwość backupu i odtwarzania ustawień bios serwera oraz ustawień karty zarządzającej;</w:t>
      </w:r>
    </w:p>
    <w:p w14:paraId="759AA5E4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Oprogramowanie zarządzające i diagnostyczne wyprodukowane przez producenta serwera umożliwiające konfigurację kontrolera RAID, instalację systemów operacyjnych, zdalne zarządzanie, diagnostykę i przewidywanie awarii w oparciu o informacje dostarczane w ramach zintegrowanego w serwerze systemu umożliwiającego monitoring systemu i środowiska (m.in. temperatura, dyski, zasilacze, płyta główna, procesory, pamięć operacyjna);</w:t>
      </w:r>
    </w:p>
    <w:p w14:paraId="48DB12D0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Wbudowania w kartę zarządzającą (lub zainstalowana) pamięć flash dająca możliwość zdalnej reinstalacji systemu lub aplikacji z obrazów zainstalowanych w obrębie dedykowanej pamięci flash bez użytkowania zewnętrznych nośników lub kopiowania danych poprzez sieć LAN;</w:t>
      </w:r>
    </w:p>
    <w:p w14:paraId="176DA07D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Serwer posiada możliwość konfiguracji i wykonania aktualizacji BIOS, Firmware, sterowników serwera bezpośrednio z GUI (graficzny interfejs) karty zarządzającej serwera bez pośrednictwa innych nośników zewnętrznych i wewnętrznych poza obrębem karty zarządzającej.</w:t>
      </w:r>
    </w:p>
    <w:p w14:paraId="4C113ACF" w14:textId="0744D42C" w:rsidR="00A54212" w:rsidRPr="00372AFB" w:rsidRDefault="00A54212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 xml:space="preserve">Możliwość równoczesnej obsługi przez 3 administratorów. </w:t>
      </w:r>
    </w:p>
    <w:p w14:paraId="63B2969A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372AFB">
        <w:rPr>
          <w:rFonts w:ascii="Times New Roman" w:hAnsi="Times New Roman" w:cs="Times New Roman"/>
          <w:lang w:val="en-US"/>
        </w:rPr>
        <w:t>Wspierane OS</w:t>
      </w:r>
    </w:p>
    <w:p w14:paraId="55487ED1" w14:textId="16373E9C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372AFB">
        <w:rPr>
          <w:rFonts w:ascii="Times New Roman" w:hAnsi="Times New Roman" w:cs="Times New Roman"/>
          <w:lang w:val="en-US"/>
        </w:rPr>
        <w:t>Microsoft Windows Server</w:t>
      </w:r>
      <w:r w:rsidR="005A616F" w:rsidRPr="00372AFB">
        <w:rPr>
          <w:rFonts w:ascii="Times New Roman" w:hAnsi="Times New Roman" w:cs="Times New Roman"/>
          <w:lang w:val="en-US"/>
        </w:rPr>
        <w:t xml:space="preserve"> 2025,</w:t>
      </w:r>
      <w:r w:rsidRPr="00372AFB">
        <w:rPr>
          <w:rFonts w:ascii="Times New Roman" w:hAnsi="Times New Roman" w:cs="Times New Roman"/>
          <w:lang w:val="en-US"/>
        </w:rPr>
        <w:t xml:space="preserve"> 2022, 2019;</w:t>
      </w:r>
    </w:p>
    <w:p w14:paraId="5935EED7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372AFB">
        <w:rPr>
          <w:rFonts w:ascii="Times New Roman" w:hAnsi="Times New Roman" w:cs="Times New Roman"/>
          <w:lang w:val="en-US"/>
        </w:rPr>
        <w:t>VMWare vSphere 8.0;</w:t>
      </w:r>
    </w:p>
    <w:p w14:paraId="0518A2EC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372AFB">
        <w:rPr>
          <w:rFonts w:ascii="Times New Roman" w:hAnsi="Times New Roman" w:cs="Times New Roman"/>
          <w:lang w:val="en-US"/>
        </w:rPr>
        <w:t>Suse Linux Enterprise Server 15;</w:t>
      </w:r>
    </w:p>
    <w:p w14:paraId="1D2EF208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372AFB">
        <w:rPr>
          <w:rFonts w:ascii="Times New Roman" w:hAnsi="Times New Roman" w:cs="Times New Roman"/>
          <w:lang w:val="en-US"/>
        </w:rPr>
        <w:t>Red Hat Enterprise Linux 9, 8;</w:t>
      </w:r>
    </w:p>
    <w:p w14:paraId="2D07DC86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372AFB">
        <w:rPr>
          <w:rFonts w:ascii="Times New Roman" w:hAnsi="Times New Roman" w:cs="Times New Roman"/>
          <w:lang w:val="en-US"/>
        </w:rPr>
        <w:t>Microsoft Hyper-V Server 2019.</w:t>
      </w:r>
    </w:p>
    <w:p w14:paraId="2A314137" w14:textId="56BB8792" w:rsidR="00A54212" w:rsidRPr="00372AFB" w:rsidRDefault="00775C99" w:rsidP="0084006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72AFB">
        <w:rPr>
          <w:rFonts w:ascii="Times New Roman" w:hAnsi="Times New Roman" w:cs="Times New Roman"/>
          <w:color w:val="000000" w:themeColor="text1"/>
        </w:rPr>
        <w:t>Serwer powinien być dostarczony z następującym systemem operacyjny: Microsoft Windows Server Datacenter 2025 w aktualnej oferowanej wersji</w:t>
      </w:r>
      <w:r w:rsidR="001019C6" w:rsidRPr="00372AFB">
        <w:rPr>
          <w:rFonts w:ascii="Times New Roman" w:hAnsi="Times New Roman" w:cs="Times New Roman"/>
          <w:color w:val="000000" w:themeColor="text1"/>
        </w:rPr>
        <w:t>.</w:t>
      </w:r>
    </w:p>
    <w:p w14:paraId="29694518" w14:textId="6D525601" w:rsidR="00A54212" w:rsidRPr="00372AFB" w:rsidRDefault="00A54212" w:rsidP="0084006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72AFB">
        <w:rPr>
          <w:rFonts w:ascii="Times New Roman" w:hAnsi="Times New Roman" w:cs="Times New Roman"/>
          <w:b/>
          <w:bCs/>
          <w:color w:val="000000" w:themeColor="text1"/>
        </w:rPr>
        <w:t>Licencja powinna</w:t>
      </w:r>
      <w:r w:rsidR="00873A04" w:rsidRPr="00372AFB">
        <w:rPr>
          <w:rFonts w:ascii="Times New Roman" w:hAnsi="Times New Roman" w:cs="Times New Roman"/>
          <w:b/>
          <w:bCs/>
          <w:color w:val="000000" w:themeColor="text1"/>
        </w:rPr>
        <w:t xml:space="preserve"> obejmować dostarczone procesory i</w:t>
      </w:r>
      <w:r w:rsidRPr="00372AFB">
        <w:rPr>
          <w:rFonts w:ascii="Times New Roman" w:hAnsi="Times New Roman" w:cs="Times New Roman"/>
          <w:b/>
          <w:bCs/>
          <w:color w:val="000000" w:themeColor="text1"/>
        </w:rPr>
        <w:t xml:space="preserve"> mieć możliwość instalacji minimum 25 maszyn na serwerach wirtualnych</w:t>
      </w:r>
      <w:r w:rsidR="00873A04" w:rsidRPr="00372AFB">
        <w:rPr>
          <w:rFonts w:ascii="Times New Roman" w:hAnsi="Times New Roman" w:cs="Times New Roman"/>
          <w:color w:val="000000" w:themeColor="text1"/>
        </w:rPr>
        <w:t>.</w:t>
      </w:r>
    </w:p>
    <w:p w14:paraId="21A3BC53" w14:textId="35A639BC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Gwarancja</w:t>
      </w:r>
    </w:p>
    <w:p w14:paraId="217C861C" w14:textId="784A972D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Naprawa realizowana przez producenta serwera lub autoryzowany przez producenta serwis. Dyski twarde nie podlegają zwrotowi organizacji serwisowej;</w:t>
      </w:r>
    </w:p>
    <w:p w14:paraId="41319E5D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Funkcja zgłaszania usterek i awarii sprzętowych poprzez automatyczne założenie zgłoszenia w systemie helpdesk/servicedesk producenta sprzętu;</w:t>
      </w:r>
    </w:p>
    <w:p w14:paraId="1FF22E94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Bezpłatna dostępność poprawek i aktualizacji BIOS/Firmware/sterowników dożywotnio dla oferowanego serwera – jeżeli funkcjonalność ta wymaga dodatkowego serwisu lub licencji producenta serwera, takowy element musi być uwzględniona w ofercie;</w:t>
      </w:r>
    </w:p>
    <w:p w14:paraId="57CDF0FD" w14:textId="57C69D79" w:rsidR="00E94679" w:rsidRPr="00372AFB" w:rsidRDefault="00F21C08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D0FAD">
        <w:rPr>
          <w:rFonts w:ascii="Times New Roman" w:hAnsi="Times New Roman" w:cs="Times New Roman"/>
        </w:rPr>
        <w:t>Inne</w:t>
      </w:r>
      <w:r w:rsidR="000B78CD" w:rsidRPr="006D0FAD">
        <w:rPr>
          <w:rFonts w:ascii="Times New Roman" w:hAnsi="Times New Roman" w:cs="Times New Roman"/>
        </w:rPr>
        <w:t>:</w:t>
      </w:r>
    </w:p>
    <w:p w14:paraId="12A2ED4F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Elementy, z których zbudowane są serwery muszą być produktami producenta tych serwerów lub być przez niego certyfikowane oraz całe muszą być objęte gwarancją producenta, o wymaganym w specyfikacji poziomie SLA – wymagane oświadczenie wykonawcy lub producenta;</w:t>
      </w:r>
    </w:p>
    <w:p w14:paraId="0F76A98C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Serwer musi być fabrycznie nowy i pochodzić z oficjalnego kanału dystrybucyjnego w UE – wymagane oświadczenie wykonawcy lub producenta;</w:t>
      </w:r>
    </w:p>
    <w:p w14:paraId="56531C07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Ogólnopolska, telefoniczna infolinia/linia techniczna producenta serwera, w ofercie należy podać link do strony producenta na której znajduje się nr telefonu oraz maila na który można zgłaszać usterki;</w:t>
      </w:r>
    </w:p>
    <w:p w14:paraId="4D670CE9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W czasie obowiązywania gwarancji na sprzęt, możliwość po podaniu na infolinii numeru seryjnego urządzenia weryfikacji pierwotnej konfiguracji sprzętowej serwera, w tym model i typ dysków twardych, procesora, ilość fabrycznie zainstalowanej pamięci operacyjnej, czasu obowiązywania i typ udzielonej gwarancji;</w:t>
      </w:r>
    </w:p>
    <w:p w14:paraId="056734B8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Możliwość aktualizacji i pobrania sterowników do oferowanego modelu serwera w najnowszych certyfikowanych wersjach bezpośrednio z sieci Internet za pośrednictwem strony www producenta serwera;</w:t>
      </w:r>
    </w:p>
    <w:p w14:paraId="635E23CD" w14:textId="77777777" w:rsidR="00E94679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lastRenderedPageBreak/>
        <w:t>Możliwość pracy w pomieszczeniach o wilgotności w zawierającej się w przedziale 8 - 85 %;</w:t>
      </w:r>
    </w:p>
    <w:p w14:paraId="742428BB" w14:textId="570B06C6" w:rsidR="00AC5BEF" w:rsidRPr="00372AFB" w:rsidRDefault="00AC5BEF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C5BEF">
        <w:rPr>
          <w:rFonts w:ascii="Times New Roman" w:hAnsi="Times New Roman" w:cs="Times New Roman"/>
        </w:rPr>
        <w:t>Maksymalna moc czynna 2600 W +/- 5%</w:t>
      </w:r>
      <w:r>
        <w:rPr>
          <w:rFonts w:ascii="Times New Roman" w:hAnsi="Times New Roman" w:cs="Times New Roman"/>
        </w:rPr>
        <w:t>;</w:t>
      </w:r>
    </w:p>
    <w:p w14:paraId="7D97673F" w14:textId="77777777" w:rsidR="00C914AE" w:rsidRPr="00C914AE" w:rsidRDefault="00C914AE" w:rsidP="00C914A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914AE">
        <w:rPr>
          <w:rFonts w:ascii="Times New Roman" w:hAnsi="Times New Roman" w:cs="Times New Roman"/>
        </w:rPr>
        <w:t>Zgodność z normą WEEE lub równoważne.</w:t>
      </w:r>
    </w:p>
    <w:p w14:paraId="7CC94BAB" w14:textId="77777777" w:rsidR="004E1A23" w:rsidRPr="00372AFB" w:rsidRDefault="004E1A23" w:rsidP="00840065">
      <w:pPr>
        <w:jc w:val="both"/>
        <w:rPr>
          <w:rFonts w:ascii="Times New Roman" w:hAnsi="Times New Roman" w:cs="Times New Roman"/>
        </w:rPr>
      </w:pPr>
    </w:p>
    <w:p w14:paraId="0EF37DA8" w14:textId="673712FA" w:rsidR="004E1A23" w:rsidRPr="00372AFB" w:rsidRDefault="004E1A23" w:rsidP="0084006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372AFB">
        <w:rPr>
          <w:rFonts w:ascii="Times New Roman" w:hAnsi="Times New Roman" w:cs="Times New Roman"/>
          <w:b/>
          <w:bCs/>
        </w:rPr>
        <w:t>Ser</w:t>
      </w:r>
      <w:r w:rsidR="004C2141" w:rsidRPr="00372AFB">
        <w:rPr>
          <w:rFonts w:ascii="Times New Roman" w:hAnsi="Times New Roman" w:cs="Times New Roman"/>
          <w:b/>
          <w:bCs/>
        </w:rPr>
        <w:t>w</w:t>
      </w:r>
      <w:r w:rsidRPr="00372AFB">
        <w:rPr>
          <w:rFonts w:ascii="Times New Roman" w:hAnsi="Times New Roman" w:cs="Times New Roman"/>
          <w:b/>
          <w:bCs/>
        </w:rPr>
        <w:t xml:space="preserve">er </w:t>
      </w:r>
      <w:r w:rsidR="00B717BB">
        <w:rPr>
          <w:rFonts w:ascii="Times New Roman" w:hAnsi="Times New Roman" w:cs="Times New Roman"/>
          <w:b/>
          <w:bCs/>
        </w:rPr>
        <w:t>OLVM</w:t>
      </w:r>
    </w:p>
    <w:p w14:paraId="1BDD226B" w14:textId="413B5DD0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Obudowa</w:t>
      </w:r>
      <w:r w:rsidR="000B78CD" w:rsidRPr="00372AFB">
        <w:rPr>
          <w:rFonts w:ascii="Times New Roman" w:hAnsi="Times New Roman" w:cs="Times New Roman"/>
        </w:rPr>
        <w:t xml:space="preserve"> t</w:t>
      </w:r>
      <w:r w:rsidRPr="00372AFB">
        <w:rPr>
          <w:rFonts w:ascii="Times New Roman" w:hAnsi="Times New Roman" w:cs="Times New Roman"/>
        </w:rPr>
        <w:t>ypu RACK, wysokość 2U;</w:t>
      </w:r>
    </w:p>
    <w:p w14:paraId="0D7E1CF2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Szyny umożliwiające wysunięcie serwera z szafy stelażowej wraz z ramieniem porządkującym kable z tyłu obudowy;</w:t>
      </w:r>
    </w:p>
    <w:p w14:paraId="3A291AA0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Możliwość zainstalowania 16 dysków twardych hot plug 2,5”;</w:t>
      </w:r>
    </w:p>
    <w:p w14:paraId="55EF3421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Możliwość zainstalowania fizycznego zabezpieczenia (np. na klucz lub elektrozamek) uniemożliwiającego fizyczny dostęp do dysków twardych;</w:t>
      </w:r>
    </w:p>
    <w:p w14:paraId="54AFC52E" w14:textId="589804D8" w:rsidR="00B717BB" w:rsidRPr="00372AFB" w:rsidRDefault="004E1A23" w:rsidP="00B717B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Zainstalowane 6 szt. dysków SSD SAS 24G  1,6TB  DWPD</w:t>
      </w:r>
      <w:r w:rsidR="00B717BB">
        <w:rPr>
          <w:rFonts w:ascii="Times New Roman" w:hAnsi="Times New Roman" w:cs="Times New Roman"/>
        </w:rPr>
        <w:t>=</w:t>
      </w:r>
      <w:r w:rsidRPr="00372AFB">
        <w:rPr>
          <w:rFonts w:ascii="Times New Roman" w:hAnsi="Times New Roman" w:cs="Times New Roman"/>
        </w:rPr>
        <w:t>1 Hot-Plug</w:t>
      </w:r>
      <w:r w:rsidR="00971994">
        <w:rPr>
          <w:rFonts w:ascii="Times New Roman" w:hAnsi="Times New Roman" w:cs="Times New Roman"/>
        </w:rPr>
        <w:t xml:space="preserve"> </w:t>
      </w:r>
    </w:p>
    <w:p w14:paraId="762C64D4" w14:textId="137F4072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PCIe4.0 x4;</w:t>
      </w:r>
    </w:p>
    <w:p w14:paraId="2025012B" w14:textId="05BDEE40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Możliwość zainstalowania dedykowanego wewnętrznego napędu LTO-8.</w:t>
      </w:r>
    </w:p>
    <w:p w14:paraId="1916AAAF" w14:textId="50EB0CF8" w:rsidR="004E1A23" w:rsidRPr="006D0FAD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D0FAD">
        <w:rPr>
          <w:rFonts w:ascii="Times New Roman" w:hAnsi="Times New Roman" w:cs="Times New Roman"/>
        </w:rPr>
        <w:t>Płyta główna</w:t>
      </w:r>
      <w:r w:rsidR="00F21C08" w:rsidRPr="006D0FAD">
        <w:rPr>
          <w:rFonts w:ascii="Times New Roman" w:hAnsi="Times New Roman" w:cs="Times New Roman"/>
        </w:rPr>
        <w:t xml:space="preserve"> d</w:t>
      </w:r>
      <w:r w:rsidRPr="006D0FAD">
        <w:rPr>
          <w:rFonts w:ascii="Times New Roman" w:hAnsi="Times New Roman" w:cs="Times New Roman"/>
        </w:rPr>
        <w:t>wuprocesorowa;</w:t>
      </w:r>
    </w:p>
    <w:p w14:paraId="159EBC64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Wyprodukowana i zaprojektowana przez producenta serwera;</w:t>
      </w:r>
    </w:p>
    <w:p w14:paraId="05AE0061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Możliwość instalacji procesorów 60-rdzeniowych;</w:t>
      </w:r>
    </w:p>
    <w:p w14:paraId="7F51379E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Zainstalowany moduł TPM 2.0;</w:t>
      </w:r>
    </w:p>
    <w:p w14:paraId="69CF92F2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6 złącz PCI Express generacji 5 w tym:</w:t>
      </w:r>
    </w:p>
    <w:p w14:paraId="5B453324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4 fizyczne złącza o prędkości x16;</w:t>
      </w:r>
    </w:p>
    <w:p w14:paraId="08C7D522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2 fizyczne złącza o prędkości x8;</w:t>
      </w:r>
    </w:p>
    <w:p w14:paraId="75481FC9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Opcjonalnie możliwość uzyskania 2 złącz typu pełnej wysokości;</w:t>
      </w:r>
    </w:p>
    <w:p w14:paraId="6AF86930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Opcjonalnie możliwość uzyskania 9 aktywnych interfejsów PCI-e;</w:t>
      </w:r>
    </w:p>
    <w:p w14:paraId="56E84A5A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32 gniazda pamięci RAM;</w:t>
      </w:r>
    </w:p>
    <w:p w14:paraId="28793889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Obsługa minimum 8 TB pamięci RAM DDR5;</w:t>
      </w:r>
    </w:p>
    <w:p w14:paraId="4D7AB171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Wsparcie dla technologii:</w:t>
      </w:r>
    </w:p>
    <w:p w14:paraId="76F61570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Memory Scrubbing;</w:t>
      </w:r>
    </w:p>
    <w:p w14:paraId="59A15E46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372AFB">
        <w:rPr>
          <w:rFonts w:ascii="Times New Roman" w:hAnsi="Times New Roman" w:cs="Times New Roman"/>
          <w:lang w:val="en-US"/>
        </w:rPr>
        <w:t>SDDC;</w:t>
      </w:r>
    </w:p>
    <w:p w14:paraId="1EAA958C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372AFB">
        <w:rPr>
          <w:rFonts w:ascii="Times New Roman" w:hAnsi="Times New Roman" w:cs="Times New Roman"/>
          <w:lang w:val="en-US"/>
        </w:rPr>
        <w:t>ECC;</w:t>
      </w:r>
    </w:p>
    <w:p w14:paraId="1137E7D7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372AFB">
        <w:rPr>
          <w:rFonts w:ascii="Times New Roman" w:hAnsi="Times New Roman" w:cs="Times New Roman"/>
          <w:lang w:val="en-US"/>
        </w:rPr>
        <w:t>Memory Mirroring;</w:t>
      </w:r>
    </w:p>
    <w:p w14:paraId="28C5DDA0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372AFB">
        <w:rPr>
          <w:rFonts w:ascii="Times New Roman" w:hAnsi="Times New Roman" w:cs="Times New Roman"/>
          <w:lang w:val="en-US"/>
        </w:rPr>
        <w:t>ADDDC;</w:t>
      </w:r>
    </w:p>
    <w:p w14:paraId="49D417A5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Możliwość instalacji 2 dysków M.2 na płycie głównej (lub dedykowanej karcie PCI Express)  dyski nie mogą zajmować klatek dla dysków hot-plug.</w:t>
      </w:r>
    </w:p>
    <w:p w14:paraId="40834792" w14:textId="0EAEA32A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Procesory</w:t>
      </w:r>
    </w:p>
    <w:p w14:paraId="060E28FF" w14:textId="77777777" w:rsidR="00B717BB" w:rsidRPr="00B717BB" w:rsidRDefault="00B717BB" w:rsidP="00B717BB">
      <w:pPr>
        <w:spacing w:after="0"/>
        <w:rPr>
          <w:rFonts w:ascii="Times New Roman" w:hAnsi="Times New Roman" w:cs="Times New Roman"/>
        </w:rPr>
      </w:pPr>
      <w:r w:rsidRPr="00B717BB">
        <w:rPr>
          <w:rFonts w:ascii="Times New Roman" w:hAnsi="Times New Roman" w:cs="Times New Roman"/>
        </w:rPr>
        <w:t>Jeden procesor 16-rdzeniowy, taktowanie bazowe 2,8 GHz, architektura x86_64</w:t>
      </w:r>
      <w:bookmarkStart w:id="0" w:name="_Hlk196392538"/>
      <w:r w:rsidRPr="00B717BB">
        <w:rPr>
          <w:rFonts w:ascii="Times New Roman" w:hAnsi="Times New Roman" w:cs="Times New Roman"/>
        </w:rPr>
        <w:t xml:space="preserve">, data  wydane nie wcześniej niż w 2 kwartale 2023 roku </w:t>
      </w:r>
      <w:bookmarkEnd w:id="0"/>
      <w:r w:rsidRPr="00B717BB">
        <w:rPr>
          <w:rFonts w:ascii="Times New Roman" w:hAnsi="Times New Roman" w:cs="Times New Roman"/>
        </w:rPr>
        <w:t>;</w:t>
      </w:r>
    </w:p>
    <w:p w14:paraId="29EB9A27" w14:textId="1CC9D572" w:rsidR="004E1A23" w:rsidRPr="00B717BB" w:rsidRDefault="004E1A23" w:rsidP="00B717BB">
      <w:pPr>
        <w:spacing w:after="0"/>
      </w:pPr>
      <w:r w:rsidRPr="00372AFB">
        <w:rPr>
          <w:rFonts w:ascii="Times New Roman" w:hAnsi="Times New Roman" w:cs="Times New Roman"/>
        </w:rPr>
        <w:t>Pamięć RAM</w:t>
      </w:r>
    </w:p>
    <w:p w14:paraId="4E859B51" w14:textId="643B8907" w:rsidR="004E1A23" w:rsidRPr="00372AFB" w:rsidRDefault="00B717BB" w:rsidP="00B717BB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512</w:t>
      </w:r>
      <w:r w:rsidR="004E1A23" w:rsidRPr="00372AFB">
        <w:rPr>
          <w:rFonts w:ascii="Times New Roman" w:hAnsi="Times New Roman" w:cs="Times New Roman"/>
        </w:rPr>
        <w:t xml:space="preserve"> GB pamięci RAM;</w:t>
      </w:r>
    </w:p>
    <w:p w14:paraId="76A44166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372AFB">
        <w:rPr>
          <w:rFonts w:ascii="Times New Roman" w:hAnsi="Times New Roman" w:cs="Times New Roman"/>
          <w:lang w:val="en-US"/>
        </w:rPr>
        <w:t>DDR5 Registered 5600MT/s;</w:t>
      </w:r>
    </w:p>
    <w:p w14:paraId="166DD121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372AFB">
        <w:rPr>
          <w:rFonts w:ascii="Times New Roman" w:hAnsi="Times New Roman" w:cs="Times New Roman"/>
          <w:lang w:val="en-US"/>
        </w:rPr>
        <w:t>Kontrolery LAN</w:t>
      </w:r>
    </w:p>
    <w:p w14:paraId="0DFCA832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Interfejsy LAN, nie zajmujące żadnego z dostępnych slotów PCI Express:</w:t>
      </w:r>
    </w:p>
    <w:p w14:paraId="30CD4B66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4 x 10Gbit Base-T;</w:t>
      </w:r>
    </w:p>
    <w:p w14:paraId="4ED25B99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Możliwość uzyskania dwóch interfejsów 100Gbit QSFP28 bez konieczności instalacji kart w slotach PCIe;</w:t>
      </w:r>
    </w:p>
    <w:p w14:paraId="7710EAB9" w14:textId="72DF0984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Interfejsy SAN zainstalowane w slotach PCI-e</w:t>
      </w:r>
      <w:r w:rsidR="00274011">
        <w:rPr>
          <w:rFonts w:ascii="Times New Roman" w:hAnsi="Times New Roman" w:cs="Times New Roman"/>
        </w:rPr>
        <w:t xml:space="preserve"> wraz z wkładkami</w:t>
      </w:r>
      <w:r w:rsidRPr="00372AFB">
        <w:rPr>
          <w:rFonts w:ascii="Times New Roman" w:hAnsi="Times New Roman" w:cs="Times New Roman"/>
        </w:rPr>
        <w:t>:</w:t>
      </w:r>
    </w:p>
    <w:p w14:paraId="5F09BBDB" w14:textId="76DC9BF0" w:rsidR="004E1A23" w:rsidRDefault="00450656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F5AD7">
        <w:rPr>
          <w:rFonts w:ascii="Times New Roman" w:hAnsi="Times New Roman" w:cs="Times New Roman"/>
        </w:rPr>
        <w:t xml:space="preserve">2x </w:t>
      </w:r>
      <w:r w:rsidR="00015811">
        <w:rPr>
          <w:rFonts w:ascii="Times New Roman" w:hAnsi="Times New Roman" w:cs="Times New Roman"/>
        </w:rPr>
        <w:t>16</w:t>
      </w:r>
      <w:r w:rsidRPr="00BF5AD7">
        <w:rPr>
          <w:rFonts w:ascii="Times New Roman" w:hAnsi="Times New Roman" w:cs="Times New Roman"/>
        </w:rPr>
        <w:t xml:space="preserve"> Gbit SFP+ MMF</w:t>
      </w:r>
      <w:r w:rsidR="00515ED4" w:rsidRPr="00BF5AD7">
        <w:rPr>
          <w:rFonts w:ascii="Times New Roman" w:hAnsi="Times New Roman" w:cs="Times New Roman"/>
        </w:rPr>
        <w:t>;</w:t>
      </w:r>
    </w:p>
    <w:p w14:paraId="1378BC1E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Kontrolery I/O</w:t>
      </w:r>
    </w:p>
    <w:p w14:paraId="19D59288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lastRenderedPageBreak/>
        <w:t>Kontroler SAS RAID dla dysków wewnętrznych posiadający 8GB pamięci cache, obsługujący poziomy RAID: 0,1,10,5,50,6,60 z podtrzymaniem pamięci cache w przypadku utraty zasilania;</w:t>
      </w:r>
    </w:p>
    <w:p w14:paraId="316337C2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Porty</w:t>
      </w:r>
    </w:p>
    <w:p w14:paraId="465EEAD6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Zintegrowana karta graficzna ze złączem VGA z tyłu serwera;</w:t>
      </w:r>
    </w:p>
    <w:p w14:paraId="4263FA05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1 porty USB 3.0 wewnętrzny;</w:t>
      </w:r>
    </w:p>
    <w:p w14:paraId="107B6956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2 porty USB 3.0 dostępne z tyłu serwera;</w:t>
      </w:r>
    </w:p>
    <w:p w14:paraId="6984C1B6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2 porty USB 3.0 na panelu przednim;</w:t>
      </w:r>
    </w:p>
    <w:p w14:paraId="2508492C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Opcjonalny port serial, możliwość wykorzystania portu serial do zarządzania serwerem;</w:t>
      </w:r>
    </w:p>
    <w:p w14:paraId="49EBDF98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Ilość dostępnych złącz USB nie może być osiągnięta poprzez stosowanie zewnętrznych przejściówek, rozgałęziaczy czy dodatkowych kart rozszerzeń zajmujących jakikolwiek slot PCI Express i/lub USB serwera.</w:t>
      </w:r>
    </w:p>
    <w:p w14:paraId="78EDB669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Zasilanie, chłodzenie</w:t>
      </w:r>
    </w:p>
    <w:p w14:paraId="527BE56F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Redundantne zasilacze hotplug o sprawności 96% (tzw. klasa Titanium) o mocy 900W;</w:t>
      </w:r>
    </w:p>
    <w:p w14:paraId="761DC6F0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Redundantne wentylatory hotplug.</w:t>
      </w:r>
    </w:p>
    <w:p w14:paraId="6F65C970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Zarządzanie</w:t>
      </w:r>
    </w:p>
    <w:p w14:paraId="2EEDCF64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Wbudowane diody informacyjne lub wyświetlacz informujące o stanie serwera - system przewidywania, rozpoznawania awarii;</w:t>
      </w:r>
    </w:p>
    <w:p w14:paraId="7439F2FC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informacja o statusie pracy (poprawny, przewidywana usterka lub usterka) następujących komponentów:</w:t>
      </w:r>
    </w:p>
    <w:p w14:paraId="6E2BAE92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karty rozszerzeń zainstalowane w dowolnym  slocie PCI Express;</w:t>
      </w:r>
    </w:p>
    <w:p w14:paraId="1CD50F27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procesory CPU;</w:t>
      </w:r>
    </w:p>
    <w:p w14:paraId="34B3053D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pamięć RAM z dokładnością umożliwiającą jednoznaczną identyfikację uszkodzonego modułu pamięci RAM;</w:t>
      </w:r>
    </w:p>
    <w:p w14:paraId="52DCC63B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status karty zarządzającej serwera;</w:t>
      </w:r>
    </w:p>
    <w:p w14:paraId="7AADB3CD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wentylatory;</w:t>
      </w:r>
    </w:p>
    <w:p w14:paraId="74D7AEAA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bateria podtrzymująca ustawienia BIOS płyty głównej;</w:t>
      </w:r>
    </w:p>
    <w:p w14:paraId="11549EE1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zasilacze;</w:t>
      </w:r>
    </w:p>
    <w:p w14:paraId="765FDF99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system przewidywania/rozpoznawania awarii musi być niezależny i działać w przypadku odłączenia kabli zasilających serwera (podtrzymywany kondensatorowo lub bateryjnie w celu uruchomienia przy odłączonym zasilaniu sieciowym);</w:t>
      </w:r>
    </w:p>
    <w:p w14:paraId="5711E3D2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Zintegrowany z płytą główną serwera kontroler sprzętowy zdalnego zarządzania zgodny z IPMI 2.0 o funkcjonalnościach:</w:t>
      </w:r>
    </w:p>
    <w:p w14:paraId="645DD736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Niezależny od systemu operacyjnego, sprzętowy kontroler umożliwiający pełne zarządzanie, zdalny restart serwera;</w:t>
      </w:r>
    </w:p>
    <w:p w14:paraId="7F163058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Dedykowana karta LAN 1 Gb/s, dedykowane złącze RJ-45 do komunikacji wyłącznie z kontrolerem zdalnego zarządzania z możliwością przeniesienia tej komunikacji na inną kartę sieciową współdzieloną z systemem operacyjnym;</w:t>
      </w:r>
    </w:p>
    <w:p w14:paraId="1149983B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Dostęp poprzez przeglądarkę Web, SSH;</w:t>
      </w:r>
    </w:p>
    <w:p w14:paraId="4F61D770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Zarządzanie mocą i jej zużyciem oraz monitoring zużycia energii;</w:t>
      </w:r>
    </w:p>
    <w:p w14:paraId="7792D2E1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Zarządzanie alarmami (zdarzenia poprzez SNMP);</w:t>
      </w:r>
    </w:p>
    <w:p w14:paraId="56B0F0DB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Możliwość przejęcia konsoli tekstowej;</w:t>
      </w:r>
    </w:p>
    <w:p w14:paraId="5D14E9C8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Przekierowanie konsoli graficznej na poziomie sprzętowym oraz możliwość montowania zdalnych napędów i ich obrazów na poziomie sprzętowym (cyfrowy KVM);</w:t>
      </w:r>
    </w:p>
    <w:p w14:paraId="065990E6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Obsługa serwerów proxy (autentykacja);</w:t>
      </w:r>
    </w:p>
    <w:p w14:paraId="351888F8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Obsługa VLAN;</w:t>
      </w:r>
    </w:p>
    <w:p w14:paraId="094B5B87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Możliwość konfiguracji parametru Max. Transmission Unit (MTU);</w:t>
      </w:r>
    </w:p>
    <w:p w14:paraId="2B02FDD2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Wsparcie dla protokołu SSDP;</w:t>
      </w:r>
    </w:p>
    <w:p w14:paraId="2CD02879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Obsługa protokołów TLS 1.2, SSL v3;</w:t>
      </w:r>
    </w:p>
    <w:p w14:paraId="48AD72DD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lastRenderedPageBreak/>
        <w:t>Obsługa protokołu LDAP;</w:t>
      </w:r>
    </w:p>
    <w:p w14:paraId="411C5802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Synchronizacja czasu poprzez protokół NTP;</w:t>
      </w:r>
    </w:p>
    <w:p w14:paraId="776928C1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Możliwość backupu i odtwarzania ustawień bios serwera oraz ustawień karty zarządzającej;</w:t>
      </w:r>
    </w:p>
    <w:p w14:paraId="184D60C3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Oprogramowanie zarządzające i diagnostyczne wyprodukowane przez producenta serwera umożliwiające konfigurację kontrolera RAID, instalację systemów operacyjnych, zdalne zarządzanie, diagnostykę i przewidywanie awarii w oparciu o informacje dostarczane w ramach zintegrowanego w serwerze systemu umożliwiającego monitoring systemu i środowiska (m.in. temperatura, dyski, zasilacze, płyta główna, procesory, pamięć operacyjna);</w:t>
      </w:r>
    </w:p>
    <w:p w14:paraId="6B85DB00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Wbudowania w kartę zarządzającą (lub zainstalowana) pamięć flash dająca możliwość zdalnej reinstalacji systemu lub aplikacji z obrazów zainstalowanych w obrębie dedykowanej pamięci flash bez użytkowania zewnętrznych nośników lub kopiowania danych poprzez sieć LAN;</w:t>
      </w:r>
    </w:p>
    <w:p w14:paraId="092F77C1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Serwer posiada możliwość konfiguracji i wykonania aktualizacji BIOS, Firmware, sterowników serwera bezpośrednio z GUI (graficzny interfejs) karty zarządzającej serwera bez pośrednictwa innych nośników zewnętrznych i wewnętrznych poza obrębem karty zarządzającej.</w:t>
      </w:r>
    </w:p>
    <w:p w14:paraId="7D11D830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372AFB">
        <w:rPr>
          <w:rFonts w:ascii="Times New Roman" w:hAnsi="Times New Roman" w:cs="Times New Roman"/>
          <w:lang w:val="en-US"/>
        </w:rPr>
        <w:t>Wspierane OS</w:t>
      </w:r>
    </w:p>
    <w:p w14:paraId="309FA8AB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372AFB">
        <w:rPr>
          <w:rFonts w:ascii="Times New Roman" w:hAnsi="Times New Roman" w:cs="Times New Roman"/>
          <w:lang w:val="en-US"/>
        </w:rPr>
        <w:t>Microsoft Windows Server 2025, 2022, 2019;</w:t>
      </w:r>
    </w:p>
    <w:p w14:paraId="78166C14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372AFB">
        <w:rPr>
          <w:rFonts w:ascii="Times New Roman" w:hAnsi="Times New Roman" w:cs="Times New Roman"/>
          <w:lang w:val="en-US"/>
        </w:rPr>
        <w:t>VMWare vSphere 8.0;</w:t>
      </w:r>
    </w:p>
    <w:p w14:paraId="0F3D31CE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372AFB">
        <w:rPr>
          <w:rFonts w:ascii="Times New Roman" w:hAnsi="Times New Roman" w:cs="Times New Roman"/>
          <w:lang w:val="en-US"/>
        </w:rPr>
        <w:t>Suse Linux Enterprise Server 15;</w:t>
      </w:r>
    </w:p>
    <w:p w14:paraId="39AC6D19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372AFB">
        <w:rPr>
          <w:rFonts w:ascii="Times New Roman" w:hAnsi="Times New Roman" w:cs="Times New Roman"/>
          <w:lang w:val="en-US"/>
        </w:rPr>
        <w:t>Red Hat Enterprise Linux 9, 8;</w:t>
      </w:r>
    </w:p>
    <w:p w14:paraId="26E239F1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372AFB">
        <w:rPr>
          <w:rFonts w:ascii="Times New Roman" w:hAnsi="Times New Roman" w:cs="Times New Roman"/>
          <w:lang w:val="en-US"/>
        </w:rPr>
        <w:t>Microsoft Hyper-V Server 2019.</w:t>
      </w:r>
    </w:p>
    <w:p w14:paraId="3B40DE0A" w14:textId="263C1CBC" w:rsidR="00B717BB" w:rsidRPr="00030626" w:rsidRDefault="00B717BB" w:rsidP="00B717B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30626">
        <w:rPr>
          <w:rFonts w:ascii="Times New Roman" w:hAnsi="Times New Roman" w:cs="Times New Roman"/>
        </w:rPr>
        <w:t>Inn</w:t>
      </w:r>
      <w:r w:rsidR="00BF5AD7" w:rsidRPr="00030626">
        <w:rPr>
          <w:rFonts w:ascii="Times New Roman" w:hAnsi="Times New Roman" w:cs="Times New Roman"/>
        </w:rPr>
        <w:t>y</w:t>
      </w:r>
      <w:r w:rsidRPr="00030626">
        <w:rPr>
          <w:rFonts w:ascii="Times New Roman" w:hAnsi="Times New Roman" w:cs="Times New Roman"/>
        </w:rPr>
        <w:t xml:space="preserve"> zakres prac związany z serwerem OLVM  : </w:t>
      </w:r>
    </w:p>
    <w:p w14:paraId="4292EB17" w14:textId="77777777" w:rsidR="00B717BB" w:rsidRPr="00BF5AD7" w:rsidRDefault="00B717BB" w:rsidP="00B717B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F5AD7">
        <w:rPr>
          <w:rFonts w:ascii="Times New Roman" w:hAnsi="Times New Roman" w:cs="Times New Roman"/>
        </w:rPr>
        <w:t>1. Upgrade systemów operacyjnych dla obecnych linuxów (wersja 7.9) do ostatniej wersji Oracle Linux certyfikowanych z wersją 19c </w:t>
      </w:r>
    </w:p>
    <w:p w14:paraId="1951B9CF" w14:textId="77777777" w:rsidR="00B717BB" w:rsidRPr="00BF5AD7" w:rsidRDefault="00B717BB" w:rsidP="00B717B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F5AD7">
        <w:rPr>
          <w:rFonts w:ascii="Times New Roman" w:hAnsi="Times New Roman" w:cs="Times New Roman"/>
        </w:rPr>
        <w:t>2. Migracja 2 baz  z wersji 12.2 (SE2) do wersji 19c (SE2) wraz o najnowszymi patchsetami</w:t>
      </w:r>
    </w:p>
    <w:p w14:paraId="6F51F59D" w14:textId="77777777" w:rsidR="00B717BB" w:rsidRPr="00BF5AD7" w:rsidRDefault="00B717BB" w:rsidP="00B717B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F5AD7">
        <w:rPr>
          <w:rFonts w:ascii="Times New Roman" w:hAnsi="Times New Roman" w:cs="Times New Roman"/>
        </w:rPr>
        <w:t>3. Patchowanie 3 baz do najnowszego release'u 19c</w:t>
      </w:r>
    </w:p>
    <w:p w14:paraId="364889D0" w14:textId="77777777" w:rsidR="00B717BB" w:rsidRPr="00BF5AD7" w:rsidRDefault="00B717BB" w:rsidP="00B717B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F5AD7">
        <w:rPr>
          <w:rFonts w:ascii="Times New Roman" w:hAnsi="Times New Roman" w:cs="Times New Roman"/>
        </w:rPr>
        <w:t>4. Implementacja rozwiązania ASM (Automatic Storage Management) dla plików danych wszystkich baz AMMS</w:t>
      </w:r>
    </w:p>
    <w:p w14:paraId="17DBBB1E" w14:textId="77777777" w:rsidR="00B717BB" w:rsidRPr="00BF5AD7" w:rsidRDefault="00B717BB" w:rsidP="00B717B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F5AD7">
        <w:rPr>
          <w:rFonts w:ascii="Times New Roman" w:hAnsi="Times New Roman" w:cs="Times New Roman"/>
        </w:rPr>
        <w:t>5. Instalacja systemu Oracle Linux dla nowego hosta</w:t>
      </w:r>
    </w:p>
    <w:p w14:paraId="63A63D78" w14:textId="77777777" w:rsidR="00B717BB" w:rsidRPr="00BF5AD7" w:rsidRDefault="00B717BB" w:rsidP="00B717B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F5AD7">
        <w:rPr>
          <w:rFonts w:ascii="Times New Roman" w:hAnsi="Times New Roman" w:cs="Times New Roman"/>
        </w:rPr>
        <w:t>6. Instalacja oraz konfiguracja wirtualtizatora OLVM dla nowego hosta</w:t>
      </w:r>
    </w:p>
    <w:p w14:paraId="7B91210C" w14:textId="77777777" w:rsidR="00B717BB" w:rsidRPr="00BF5AD7" w:rsidRDefault="00B717BB" w:rsidP="00B717B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F5AD7">
        <w:rPr>
          <w:rFonts w:ascii="Times New Roman" w:hAnsi="Times New Roman" w:cs="Times New Roman"/>
        </w:rPr>
        <w:t>7. Wykreowanie 2 maszyn wirtualnych będących failoverem dla 2 istniejących maszyn</w:t>
      </w:r>
    </w:p>
    <w:p w14:paraId="09ADBE40" w14:textId="77777777" w:rsidR="00B717BB" w:rsidRPr="00BF5AD7" w:rsidRDefault="00B717BB" w:rsidP="00B717B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F5AD7">
        <w:rPr>
          <w:rFonts w:ascii="Times New Roman" w:hAnsi="Times New Roman" w:cs="Times New Roman"/>
        </w:rPr>
        <w:t>8. Konfiguracja SEHA (standard edition high availability) dla 5 baz</w:t>
      </w:r>
    </w:p>
    <w:p w14:paraId="69685E83" w14:textId="77777777" w:rsidR="00B717BB" w:rsidRPr="00BF5AD7" w:rsidRDefault="00B717BB" w:rsidP="00B717B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F5AD7">
        <w:rPr>
          <w:rFonts w:ascii="Times New Roman" w:hAnsi="Times New Roman" w:cs="Times New Roman"/>
        </w:rPr>
        <w:t>9. Testy funkcjonalne nowo utworzonego środowiska</w:t>
      </w:r>
    </w:p>
    <w:p w14:paraId="63FEA972" w14:textId="77777777" w:rsidR="00B717BB" w:rsidRPr="00BF5AD7" w:rsidRDefault="00B717BB" w:rsidP="00B717B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F5AD7">
        <w:rPr>
          <w:rFonts w:ascii="Times New Roman" w:hAnsi="Times New Roman" w:cs="Times New Roman"/>
        </w:rPr>
        <w:t>10. Przygotowanie dokumentacji  powdrożeniowej</w:t>
      </w:r>
    </w:p>
    <w:p w14:paraId="0F86A3A6" w14:textId="77777777" w:rsidR="00B717BB" w:rsidRDefault="00B717BB" w:rsidP="00840065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4FD58E91" w14:textId="09C96DD1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372AFB">
        <w:rPr>
          <w:rFonts w:ascii="Times New Roman" w:hAnsi="Times New Roman" w:cs="Times New Roman"/>
          <w:b/>
          <w:bCs/>
        </w:rPr>
        <w:t>Gwarancja</w:t>
      </w:r>
    </w:p>
    <w:p w14:paraId="4ECB3D79" w14:textId="4861C15F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Naprawa realizowana przez producenta serwera lub autoryzowany przez producenta serwis. Dyski twarde nie podlegają zwrotowi organizacji serwisowej;</w:t>
      </w:r>
    </w:p>
    <w:p w14:paraId="66021AE7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Funkcja zgłaszania usterek i awarii sprzętowych poprzez automatyczne założenie zgłoszenia w systemie helpdesk/servicedesk producenta sprzętu;</w:t>
      </w:r>
    </w:p>
    <w:p w14:paraId="1693737B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Bezpłatna dostępność poprawek i aktualizacji BIOS/Firmware/sterowników dożywotnio dla oferowanego serwera – jeżeli funkcjonalność ta wymaga dodatkowego serwisu lub licencji producenta serwera, takowy element musi być uwzględniona w ofercie;</w:t>
      </w:r>
    </w:p>
    <w:p w14:paraId="79764068" w14:textId="5CB7E917" w:rsidR="004E1A23" w:rsidRPr="00372AFB" w:rsidRDefault="00F21C08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Inne:</w:t>
      </w:r>
    </w:p>
    <w:p w14:paraId="4891C01B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Elementy, z których zbudowane są serwery muszą być produktami producenta tych serwerów lub być przez niego certyfikowane oraz całe muszą być objęte gwarancją producenta, o wymaganym w specyfikacji poziomie SLA – wymagane oświadczenie wykonawcy lub producenta;</w:t>
      </w:r>
    </w:p>
    <w:p w14:paraId="1A839C0F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Serwer musi być fabrycznie nowy i pochodzić z oficjalnego kanału dystrybucyjnego w UE – wymagane oświadczenie wykonawcy lub producenta;</w:t>
      </w:r>
    </w:p>
    <w:p w14:paraId="4606B388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lastRenderedPageBreak/>
        <w:t>Ogólnopolska, telefoniczna infolinia/linia techniczna producenta serwera, w ofercie należy podać link do strony producenta na której znajduje się nr telefonu oraz maila na który można zgłaszać usterki;</w:t>
      </w:r>
    </w:p>
    <w:p w14:paraId="0A223835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W czasie obowiązywania gwarancji na sprzęt, możliwość po podaniu na infolinii numeru seryjnego urządzenia weryfikacji pierwotnej konfiguracji sprzętowej serwera, w tym model i typ dysków twardych, procesora, ilość fabrycznie zainstalowanej pamięci operacyjnej, czasu obowiązywania i typ udzielonej gwarancji;</w:t>
      </w:r>
    </w:p>
    <w:p w14:paraId="5DD30DE3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Możliwość aktualizacji i pobrania sterowników do oferowanego modelu serwera w najnowszych certyfikowanych wersjach bezpośrednio z sieci Internet za pośrednictwem strony www producenta serwera;</w:t>
      </w:r>
    </w:p>
    <w:p w14:paraId="04C8A5FE" w14:textId="77777777" w:rsidR="004E1A23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Możliwość pracy w pomieszczeniach o wilgotności w zawierającej się w przedziale 8 - 85 %;</w:t>
      </w:r>
    </w:p>
    <w:p w14:paraId="3F33D572" w14:textId="27B9A085" w:rsidR="00AC5BEF" w:rsidRPr="00372AFB" w:rsidRDefault="00AC5BEF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C5BEF">
        <w:rPr>
          <w:rFonts w:ascii="Times New Roman" w:hAnsi="Times New Roman" w:cs="Times New Roman"/>
        </w:rPr>
        <w:t>Maksymalna moc czynna 2600 W +/- 5%</w:t>
      </w:r>
      <w:r>
        <w:rPr>
          <w:rFonts w:ascii="Times New Roman" w:hAnsi="Times New Roman" w:cs="Times New Roman"/>
        </w:rPr>
        <w:t>;</w:t>
      </w:r>
    </w:p>
    <w:p w14:paraId="2094C3AA" w14:textId="099834FB" w:rsidR="004E1A23" w:rsidRPr="00C914AE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914AE">
        <w:rPr>
          <w:rFonts w:ascii="Times New Roman" w:hAnsi="Times New Roman" w:cs="Times New Roman"/>
        </w:rPr>
        <w:t>Zgodność z norm</w:t>
      </w:r>
      <w:r w:rsidR="00C914AE" w:rsidRPr="00C914AE">
        <w:rPr>
          <w:rFonts w:ascii="Times New Roman" w:hAnsi="Times New Roman" w:cs="Times New Roman"/>
        </w:rPr>
        <w:t>ą</w:t>
      </w:r>
      <w:r w:rsidRPr="00C914AE">
        <w:rPr>
          <w:rFonts w:ascii="Times New Roman" w:hAnsi="Times New Roman" w:cs="Times New Roman"/>
        </w:rPr>
        <w:t xml:space="preserve"> WEEE</w:t>
      </w:r>
      <w:r w:rsidR="00C914AE" w:rsidRPr="00C914AE">
        <w:rPr>
          <w:rFonts w:ascii="Times New Roman" w:hAnsi="Times New Roman" w:cs="Times New Roman"/>
        </w:rPr>
        <w:t xml:space="preserve"> lub równoważne.</w:t>
      </w:r>
    </w:p>
    <w:p w14:paraId="6E46AD89" w14:textId="77777777" w:rsidR="004E1A23" w:rsidRPr="00372AFB" w:rsidRDefault="004E1A23" w:rsidP="00840065">
      <w:pPr>
        <w:jc w:val="both"/>
        <w:rPr>
          <w:rFonts w:ascii="Times New Roman" w:hAnsi="Times New Roman" w:cs="Times New Roman"/>
        </w:rPr>
      </w:pPr>
    </w:p>
    <w:sectPr w:rsidR="004E1A23" w:rsidRPr="00372AF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3D958" w14:textId="77777777" w:rsidR="0012058C" w:rsidRDefault="0012058C" w:rsidP="00103939">
      <w:pPr>
        <w:spacing w:after="0" w:line="240" w:lineRule="auto"/>
      </w:pPr>
      <w:r>
        <w:separator/>
      </w:r>
    </w:p>
  </w:endnote>
  <w:endnote w:type="continuationSeparator" w:id="0">
    <w:p w14:paraId="1639DC2C" w14:textId="77777777" w:rsidR="0012058C" w:rsidRDefault="0012058C" w:rsidP="00103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65294" w14:textId="77777777" w:rsidR="0012058C" w:rsidRDefault="0012058C" w:rsidP="00103939">
      <w:pPr>
        <w:spacing w:after="0" w:line="240" w:lineRule="auto"/>
      </w:pPr>
      <w:r>
        <w:separator/>
      </w:r>
    </w:p>
  </w:footnote>
  <w:footnote w:type="continuationSeparator" w:id="0">
    <w:p w14:paraId="57F4B189" w14:textId="77777777" w:rsidR="0012058C" w:rsidRDefault="0012058C" w:rsidP="00103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07ED4" w14:textId="44BB607D" w:rsidR="00840065" w:rsidRPr="00450656" w:rsidRDefault="000475D6" w:rsidP="00840065">
    <w:pPr>
      <w:pStyle w:val="Nagwek"/>
      <w:jc w:val="right"/>
      <w:rPr>
        <w:rFonts w:ascii="Arial" w:hAnsi="Arial" w:cs="Arial"/>
        <w:color w:val="EE0000"/>
      </w:rPr>
    </w:pPr>
    <w:r>
      <w:rPr>
        <w:noProof/>
      </w:rPr>
      <w:drawing>
        <wp:inline distT="0" distB="0" distL="0" distR="0" wp14:anchorId="637164C3" wp14:editId="703A0507">
          <wp:extent cx="5760720" cy="424685"/>
          <wp:effectExtent l="0" t="0" r="0" b="0"/>
          <wp:docPr id="1809797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97974" name="Obraz 180979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24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C4AFA"/>
    <w:multiLevelType w:val="hybridMultilevel"/>
    <w:tmpl w:val="4CF823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754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679"/>
    <w:rsid w:val="00015811"/>
    <w:rsid w:val="00026DC8"/>
    <w:rsid w:val="00030626"/>
    <w:rsid w:val="00045FE2"/>
    <w:rsid w:val="000475D6"/>
    <w:rsid w:val="000941F1"/>
    <w:rsid w:val="000B78CD"/>
    <w:rsid w:val="000D186B"/>
    <w:rsid w:val="000E1A1D"/>
    <w:rsid w:val="000F5A95"/>
    <w:rsid w:val="001019C6"/>
    <w:rsid w:val="00103939"/>
    <w:rsid w:val="0012058C"/>
    <w:rsid w:val="001E725C"/>
    <w:rsid w:val="001F2F28"/>
    <w:rsid w:val="001F4B97"/>
    <w:rsid w:val="00241D50"/>
    <w:rsid w:val="0026162B"/>
    <w:rsid w:val="00274011"/>
    <w:rsid w:val="002A55BE"/>
    <w:rsid w:val="002B23F7"/>
    <w:rsid w:val="003130D8"/>
    <w:rsid w:val="003308F0"/>
    <w:rsid w:val="00335328"/>
    <w:rsid w:val="003367C5"/>
    <w:rsid w:val="00372AFB"/>
    <w:rsid w:val="003A3D36"/>
    <w:rsid w:val="003A6DBA"/>
    <w:rsid w:val="00413036"/>
    <w:rsid w:val="004452DA"/>
    <w:rsid w:val="00450656"/>
    <w:rsid w:val="004555B3"/>
    <w:rsid w:val="004A4F46"/>
    <w:rsid w:val="004C2141"/>
    <w:rsid w:val="004E1A23"/>
    <w:rsid w:val="004F52DC"/>
    <w:rsid w:val="00510AA6"/>
    <w:rsid w:val="00515ED4"/>
    <w:rsid w:val="005341AE"/>
    <w:rsid w:val="005432D7"/>
    <w:rsid w:val="00571D89"/>
    <w:rsid w:val="005A0684"/>
    <w:rsid w:val="005A616F"/>
    <w:rsid w:val="00605098"/>
    <w:rsid w:val="006D0FAD"/>
    <w:rsid w:val="00715258"/>
    <w:rsid w:val="00775C99"/>
    <w:rsid w:val="00800B93"/>
    <w:rsid w:val="008216E2"/>
    <w:rsid w:val="00840065"/>
    <w:rsid w:val="00873A04"/>
    <w:rsid w:val="008D479B"/>
    <w:rsid w:val="008F7173"/>
    <w:rsid w:val="00971994"/>
    <w:rsid w:val="009872BC"/>
    <w:rsid w:val="00996336"/>
    <w:rsid w:val="009F41C2"/>
    <w:rsid w:val="00A36A72"/>
    <w:rsid w:val="00A54212"/>
    <w:rsid w:val="00A638D7"/>
    <w:rsid w:val="00A66550"/>
    <w:rsid w:val="00AC5BEF"/>
    <w:rsid w:val="00AE6711"/>
    <w:rsid w:val="00AF6DBB"/>
    <w:rsid w:val="00B466A1"/>
    <w:rsid w:val="00B717BB"/>
    <w:rsid w:val="00B80F79"/>
    <w:rsid w:val="00BC6E6A"/>
    <w:rsid w:val="00BF5AD7"/>
    <w:rsid w:val="00C90F66"/>
    <w:rsid w:val="00C914AE"/>
    <w:rsid w:val="00CA147D"/>
    <w:rsid w:val="00D372C2"/>
    <w:rsid w:val="00E94679"/>
    <w:rsid w:val="00E950DE"/>
    <w:rsid w:val="00EA4A71"/>
    <w:rsid w:val="00EC64A3"/>
    <w:rsid w:val="00F21C08"/>
    <w:rsid w:val="00F61823"/>
    <w:rsid w:val="00FE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74EC1"/>
  <w15:chartTrackingRefBased/>
  <w15:docId w15:val="{CD02023F-76B2-4C22-916D-82DAC675A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0626"/>
  </w:style>
  <w:style w:type="paragraph" w:styleId="Nagwek1">
    <w:name w:val="heading 1"/>
    <w:basedOn w:val="Normalny"/>
    <w:next w:val="Normalny"/>
    <w:link w:val="Nagwek1Znak"/>
    <w:uiPriority w:val="9"/>
    <w:qFormat/>
    <w:rsid w:val="00E94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4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46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46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46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46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46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46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46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46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46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46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467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467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46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46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46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46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46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4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46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4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4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46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46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467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4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467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467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9467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467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03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3939"/>
  </w:style>
  <w:style w:type="paragraph" w:styleId="Stopka">
    <w:name w:val="footer"/>
    <w:basedOn w:val="Normalny"/>
    <w:link w:val="StopkaZnak"/>
    <w:uiPriority w:val="99"/>
    <w:unhideWhenUsed/>
    <w:rsid w:val="00103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3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7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2243</Words>
  <Characters>13462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Kochana</dc:creator>
  <cp:keywords/>
  <dc:description/>
  <cp:lastModifiedBy>Piotr Kochana</cp:lastModifiedBy>
  <cp:revision>7</cp:revision>
  <cp:lastPrinted>2025-08-20T12:11:00Z</cp:lastPrinted>
  <dcterms:created xsi:type="dcterms:W3CDTF">2025-08-22T11:17:00Z</dcterms:created>
  <dcterms:modified xsi:type="dcterms:W3CDTF">2025-12-03T08:18:00Z</dcterms:modified>
</cp:coreProperties>
</file>