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AAC61" w14:textId="0CD52694" w:rsidR="00EA4942" w:rsidRPr="00BE769A" w:rsidRDefault="00636F70" w:rsidP="00EA4942">
      <w:pPr>
        <w:jc w:val="right"/>
        <w:rPr>
          <w:rFonts w:ascii="Times New Roman" w:hAnsi="Times New Roman" w:cs="Times New Roman"/>
          <w:color w:val="FF0000"/>
        </w:rPr>
      </w:pPr>
      <w:bookmarkStart w:id="0" w:name="OLE_LINK2"/>
      <w:r w:rsidRPr="00A85E8D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Pr="00A85E8D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zapytania nr SGA.261.31.2025</w:t>
      </w:r>
    </w:p>
    <w:p w14:paraId="5DF3F541" w14:textId="4F7217F8"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</w:p>
    <w:p w14:paraId="7314ADA7" w14:textId="77777777"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14:paraId="7B56E736" w14:textId="77777777"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14:paraId="7D116F0B" w14:textId="77777777" w:rsidR="00F05E0A" w:rsidRDefault="00F05E0A" w:rsidP="00F05E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DDFC0C" w14:textId="6B8121BB" w:rsidR="00F05E0A" w:rsidRPr="00F05E0A" w:rsidRDefault="00843179" w:rsidP="00F05E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Aparat</w:t>
      </w:r>
      <w:r w:rsidR="00B32E7F">
        <w:rPr>
          <w:rFonts w:ascii="Times New Roman" w:hAnsi="Times New Roman" w:cs="Times New Roman"/>
          <w:b/>
        </w:rPr>
        <w:t xml:space="preserve"> PET/CT</w:t>
      </w:r>
    </w:p>
    <w:p w14:paraId="7F1B265B" w14:textId="77777777" w:rsidR="00EA4942" w:rsidRPr="000353C4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9D64332" w14:textId="77777777"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3269"/>
        <w:gridCol w:w="189"/>
      </w:tblGrid>
      <w:tr w:rsidR="00EA4942" w:rsidRPr="000353C4" w14:paraId="67E58A97" w14:textId="77777777" w:rsidTr="006A1817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14:paraId="4BDC8E8F" w14:textId="77777777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14:paraId="6755E308" w14:textId="77777777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4F39700" w14:textId="77777777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269" w:type="dxa"/>
            <w:shd w:val="clear" w:color="auto" w:fill="BFBFBF" w:themeFill="background1" w:themeFillShade="BF"/>
            <w:vAlign w:val="center"/>
          </w:tcPr>
          <w:p w14:paraId="6FF4C6D2" w14:textId="77777777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14:paraId="1C7C4EBE" w14:textId="53F7FC04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4942" w:rsidRPr="000353C4" w14:paraId="1F4E9E13" w14:textId="77777777" w:rsidTr="00390CCE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C02AC34" w14:textId="77777777" w:rsidR="00EA4942" w:rsidRPr="000353C4" w:rsidRDefault="00EA4942" w:rsidP="00390C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4" w:type="dxa"/>
            <w:gridSpan w:val="4"/>
            <w:shd w:val="clear" w:color="auto" w:fill="FFFFFF" w:themeFill="background1"/>
            <w:vAlign w:val="center"/>
          </w:tcPr>
          <w:p w14:paraId="3D952F91" w14:textId="77777777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EA4942" w:rsidRPr="000353C4" w14:paraId="45FA10A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61314EC" w14:textId="77777777" w:rsidR="00EA4942" w:rsidRPr="000353C4" w:rsidRDefault="00EA4942" w:rsidP="00390CC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516694A" w14:textId="77777777" w:rsidR="00EA4942" w:rsidRPr="000353C4" w:rsidRDefault="00EA4942" w:rsidP="00390CCE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60" w:type="dxa"/>
            <w:vAlign w:val="center"/>
          </w:tcPr>
          <w:p w14:paraId="07D227A2" w14:textId="77777777" w:rsidR="00EA4942" w:rsidRPr="000353C4" w:rsidRDefault="00EA4942" w:rsidP="00390CCE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  <w:shd w:val="clear" w:color="000000" w:fill="FFFFFF"/>
            <w:vAlign w:val="center"/>
          </w:tcPr>
          <w:p w14:paraId="24472CF9" w14:textId="77777777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9950BFF" w14:textId="6B8C13AC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A4942" w:rsidRPr="000353C4" w14:paraId="217FADA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55E8AED" w14:textId="77777777" w:rsidR="00EA4942" w:rsidRPr="000353C4" w:rsidRDefault="00EA4942" w:rsidP="00390CC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370463EA" w14:textId="77777777" w:rsidR="00EA4942" w:rsidRPr="000353C4" w:rsidRDefault="00EA4942" w:rsidP="00390CCE">
            <w:pPr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60" w:type="dxa"/>
            <w:vAlign w:val="center"/>
          </w:tcPr>
          <w:p w14:paraId="3E79DC3A" w14:textId="77777777" w:rsidR="00EA4942" w:rsidRPr="000353C4" w:rsidRDefault="00EA4942" w:rsidP="00390CCE">
            <w:pPr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  <w:shd w:val="clear" w:color="000000" w:fill="FFFFFF"/>
            <w:vAlign w:val="center"/>
          </w:tcPr>
          <w:p w14:paraId="64027D34" w14:textId="77777777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E8A0F74" w14:textId="77DB8EBD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A4942" w:rsidRPr="000353C4" w14:paraId="746B6BD8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A34E72F" w14:textId="77777777" w:rsidR="00EA4942" w:rsidRPr="000353C4" w:rsidRDefault="00EA4942" w:rsidP="00390CC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1A95CCEB" w14:textId="47AC8959" w:rsidR="00EA4942" w:rsidRPr="000353C4" w:rsidRDefault="00EA4942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Urządzenie oraz</w:t>
            </w:r>
            <w:r>
              <w:rPr>
                <w:rFonts w:ascii="Times New Roman" w:hAnsi="Times New Roman" w:cs="Times New Roman"/>
              </w:rPr>
              <w:t xml:space="preserve"> wszystkie elementy składowe </w:t>
            </w:r>
            <w:r w:rsidRPr="000353C4">
              <w:rPr>
                <w:rFonts w:ascii="Times New Roman" w:hAnsi="Times New Roman" w:cs="Times New Roman"/>
              </w:rPr>
              <w:t xml:space="preserve">fabrycznie nowe, rok produkcji </w:t>
            </w:r>
            <w:r w:rsidR="00E62D68">
              <w:rPr>
                <w:rFonts w:ascii="Times New Roman" w:hAnsi="Times New Roman" w:cs="Times New Roman"/>
              </w:rPr>
              <w:t>≥</w:t>
            </w:r>
            <w:r w:rsidR="00846B02">
              <w:rPr>
                <w:rFonts w:ascii="Times New Roman" w:hAnsi="Times New Roman" w:cs="Times New Roman"/>
              </w:rPr>
              <w:t>202</w:t>
            </w:r>
            <w:r w:rsidR="006C35ED">
              <w:rPr>
                <w:rFonts w:ascii="Times New Roman" w:hAnsi="Times New Roman" w:cs="Times New Roman"/>
              </w:rPr>
              <w:t>5</w:t>
            </w:r>
            <w:r w:rsidR="00846B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7FE31AD9" w14:textId="77777777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shd w:val="clear" w:color="000000" w:fill="FFFFFF"/>
            <w:vAlign w:val="center"/>
          </w:tcPr>
          <w:p w14:paraId="468A01F9" w14:textId="77777777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77A9323" w14:textId="3CFFE02C" w:rsidR="00EA4942" w:rsidRPr="000353C4" w:rsidRDefault="00EA4942" w:rsidP="00390C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077E1" w:rsidRPr="000353C4" w14:paraId="630E2BB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8153E45" w14:textId="77777777" w:rsidR="004077E1" w:rsidRPr="000353C4" w:rsidRDefault="004077E1" w:rsidP="0011340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bottom"/>
          </w:tcPr>
          <w:p w14:paraId="4202C032" w14:textId="4E8971F9" w:rsidR="004077E1" w:rsidRDefault="00A85E8D" w:rsidP="0043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5E8D">
              <w:rPr>
                <w:rFonts w:ascii="Times New Roman" w:eastAsia="Times New Roman" w:hAnsi="Times New Roman" w:cs="Times New Roman"/>
                <w:color w:val="000000"/>
              </w:rPr>
              <w:t>Aparat produkowany seryjnie – nie prototyp.</w:t>
            </w:r>
          </w:p>
        </w:tc>
        <w:tc>
          <w:tcPr>
            <w:tcW w:w="1560" w:type="dxa"/>
            <w:vAlign w:val="center"/>
          </w:tcPr>
          <w:p w14:paraId="7E9423EA" w14:textId="77777777" w:rsidR="004077E1" w:rsidRDefault="004077E1" w:rsidP="00113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432BB7A" w14:textId="77777777" w:rsidR="004077E1" w:rsidRPr="000353C4" w:rsidRDefault="004077E1" w:rsidP="001134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94EE759" w14:textId="3F47C709" w:rsidR="004077E1" w:rsidRDefault="004077E1" w:rsidP="00113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5ED" w:rsidRPr="000353C4" w14:paraId="3D0D51A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1B07C14" w14:textId="77777777" w:rsidR="006C35ED" w:rsidRPr="000353C4" w:rsidRDefault="006C35ED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A94C842" w14:textId="38D281F4" w:rsidR="001944B8" w:rsidRPr="001944B8" w:rsidRDefault="00A85E8D" w:rsidP="001944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E8D">
              <w:rPr>
                <w:rFonts w:ascii="Times New Roman" w:hAnsi="Times New Roman" w:cs="Times New Roman"/>
                <w:color w:val="000000"/>
              </w:rPr>
              <w:t>Oferowany system w momencie składania oferty posiada deklarację zgodności CE zgodnie z dyrektywą 9</w:t>
            </w:r>
            <w:r>
              <w:rPr>
                <w:rFonts w:ascii="Times New Roman" w:hAnsi="Times New Roman" w:cs="Times New Roman"/>
                <w:color w:val="000000"/>
              </w:rPr>
              <w:t xml:space="preserve">3/42/EEC i jest zainstalowane </w:t>
            </w:r>
            <w:r w:rsidRPr="00A85E8D">
              <w:rPr>
                <w:rFonts w:ascii="Times New Roman" w:hAnsi="Times New Roman" w:cs="Times New Roman"/>
                <w:color w:val="000000"/>
              </w:rPr>
              <w:t>co najmniej 1 urządzenie oferowanego modelu skanera w warunkach norm i regulacji obowiązujących na terenie Unii Europejskiej</w:t>
            </w:r>
          </w:p>
        </w:tc>
        <w:tc>
          <w:tcPr>
            <w:tcW w:w="1560" w:type="dxa"/>
            <w:vAlign w:val="center"/>
          </w:tcPr>
          <w:p w14:paraId="18D36046" w14:textId="77777777" w:rsidR="006C35ED" w:rsidRPr="000353C4" w:rsidRDefault="006C35ED" w:rsidP="006C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0211E2C" w14:textId="77777777" w:rsidR="006C35ED" w:rsidRPr="000353C4" w:rsidRDefault="006C35ED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18F2F11" w14:textId="3FAB6FF3" w:rsidR="006C35ED" w:rsidRPr="000353C4" w:rsidRDefault="006C35ED" w:rsidP="006C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F5B" w:rsidRPr="000353C4" w14:paraId="4EB88C60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182C5A9" w14:textId="77777777" w:rsidR="00167F5B" w:rsidRPr="000353C4" w:rsidRDefault="00167F5B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41A12E7" w14:textId="3C904C1C" w:rsidR="00167F5B" w:rsidRPr="00167F5B" w:rsidRDefault="00167F5B" w:rsidP="00167F5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7F5B">
              <w:rPr>
                <w:rFonts w:ascii="Times New Roman" w:hAnsi="Times New Roman" w:cs="Times New Roman"/>
                <w:color w:val="000000"/>
              </w:rPr>
              <w:t>Od Wykonawcy wymaga się:</w:t>
            </w:r>
          </w:p>
          <w:p w14:paraId="57541E14" w14:textId="77777777" w:rsidR="00167F5B" w:rsidRPr="00167F5B" w:rsidRDefault="00167F5B" w:rsidP="00167F5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7F5B">
              <w:rPr>
                <w:rFonts w:ascii="Times New Roman" w:hAnsi="Times New Roman" w:cs="Times New Roman"/>
                <w:color w:val="000000"/>
              </w:rPr>
              <w:t>- wykonanie wszelkich prac adaptacyjnych pomieszczeń, niezbędnych do uruchomienia urządzenia</w:t>
            </w:r>
          </w:p>
          <w:p w14:paraId="5112D043" w14:textId="77777777" w:rsidR="00167F5B" w:rsidRPr="00167F5B" w:rsidRDefault="00167F5B" w:rsidP="00167F5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7F5B">
              <w:rPr>
                <w:rFonts w:ascii="Times New Roman" w:hAnsi="Times New Roman" w:cs="Times New Roman"/>
                <w:color w:val="000000"/>
              </w:rPr>
              <w:t>- zainstalowania dostarczonego urządzenia</w:t>
            </w:r>
          </w:p>
          <w:p w14:paraId="59CC82DD" w14:textId="77777777" w:rsidR="00167F5B" w:rsidRPr="00167F5B" w:rsidRDefault="00167F5B" w:rsidP="00167F5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7F5B">
              <w:rPr>
                <w:rFonts w:ascii="Times New Roman" w:hAnsi="Times New Roman" w:cs="Times New Roman"/>
                <w:color w:val="000000"/>
              </w:rPr>
              <w:t>- przeszkolenie personelu medycznego w zakresie obsługi,</w:t>
            </w:r>
          </w:p>
          <w:p w14:paraId="15C5410A" w14:textId="77777777" w:rsidR="00167F5B" w:rsidRPr="00167F5B" w:rsidRDefault="00167F5B" w:rsidP="00167F5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7F5B">
              <w:rPr>
                <w:rFonts w:ascii="Times New Roman" w:hAnsi="Times New Roman" w:cs="Times New Roman"/>
                <w:color w:val="000000"/>
              </w:rPr>
              <w:t xml:space="preserve">- przeszkolenie personelu technicznego w zakresie przewidzianej obsługi technicznej. </w:t>
            </w:r>
          </w:p>
          <w:p w14:paraId="4B5CCD90" w14:textId="77777777" w:rsidR="00167F5B" w:rsidRPr="00167F5B" w:rsidRDefault="00167F5B" w:rsidP="00167F5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7F5B">
              <w:rPr>
                <w:rFonts w:ascii="Times New Roman" w:hAnsi="Times New Roman" w:cs="Times New Roman"/>
                <w:color w:val="000000"/>
              </w:rPr>
              <w:t>- Wykonanie testów akceptacyjnych i eksploatacyjnych wszystkich systemów aparatu</w:t>
            </w:r>
          </w:p>
          <w:p w14:paraId="4246D83E" w14:textId="005FEE9D" w:rsidR="00167F5B" w:rsidRPr="00167F5B" w:rsidRDefault="00167F5B" w:rsidP="00167F5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7F5B">
              <w:rPr>
                <w:rFonts w:ascii="Times New Roman" w:hAnsi="Times New Roman" w:cs="Times New Roman"/>
                <w:color w:val="000000"/>
              </w:rPr>
              <w:t>- rozbudowa istn</w:t>
            </w:r>
            <w:r>
              <w:rPr>
                <w:rFonts w:ascii="Times New Roman" w:hAnsi="Times New Roman" w:cs="Times New Roman"/>
                <w:color w:val="000000"/>
              </w:rPr>
              <w:t>iejącego systemu bazodanowego</w:t>
            </w:r>
          </w:p>
          <w:p w14:paraId="32E28E94" w14:textId="77777777" w:rsidR="00167F5B" w:rsidRPr="00167F5B" w:rsidRDefault="00167F5B" w:rsidP="00167F5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7F5B">
              <w:rPr>
                <w:rFonts w:ascii="Times New Roman" w:hAnsi="Times New Roman" w:cs="Times New Roman"/>
                <w:color w:val="000000"/>
              </w:rPr>
              <w:t>- aktualizacja posiadanych stacji opisowych lub dostarczenie nowych</w:t>
            </w:r>
          </w:p>
          <w:p w14:paraId="30E5ADC0" w14:textId="097A116B" w:rsidR="00167F5B" w:rsidRPr="00F709A8" w:rsidRDefault="00167F5B" w:rsidP="00167F5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67F5B">
              <w:rPr>
                <w:rFonts w:ascii="Times New Roman" w:hAnsi="Times New Roman" w:cs="Times New Roman"/>
                <w:color w:val="000000"/>
              </w:rPr>
              <w:t>- zintegrowania sprzętu i oprogramowania dostarczonego w postępowaniu ze szpitalnym systemem informatycznym RIS oraz szpitalnym systemem PACS, zakup niezbędnyc</w:t>
            </w:r>
            <w:r>
              <w:rPr>
                <w:rFonts w:ascii="Times New Roman" w:hAnsi="Times New Roman" w:cs="Times New Roman"/>
                <w:color w:val="000000"/>
              </w:rPr>
              <w:t>h licencji po stronie wykonawcy</w:t>
            </w:r>
          </w:p>
        </w:tc>
        <w:tc>
          <w:tcPr>
            <w:tcW w:w="1560" w:type="dxa"/>
            <w:vAlign w:val="center"/>
          </w:tcPr>
          <w:p w14:paraId="764771EB" w14:textId="18D49CC6" w:rsidR="00167F5B" w:rsidRDefault="006D4202" w:rsidP="006C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DEA360A" w14:textId="77777777" w:rsidR="00167F5B" w:rsidRPr="000353C4" w:rsidRDefault="00167F5B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D27E63E" w14:textId="2EF2824A" w:rsidR="00167F5B" w:rsidRDefault="00167F5B" w:rsidP="006C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5ED" w:rsidRPr="000353C4" w14:paraId="763DDBB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3035264" w14:textId="77777777" w:rsidR="006C35ED" w:rsidRPr="000353C4" w:rsidRDefault="006C35ED" w:rsidP="006C35E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717C8BA2" w14:textId="62B8B376" w:rsidR="006C35ED" w:rsidRPr="006C35ED" w:rsidRDefault="00F709A8" w:rsidP="00A85E8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09A8">
              <w:rPr>
                <w:rFonts w:ascii="Times New Roman" w:hAnsi="Times New Roman" w:cs="Times New Roman"/>
                <w:color w:val="000000"/>
              </w:rPr>
              <w:t xml:space="preserve">Skaner PET zintegrowany z TK; wspólny stół, wspólne </w:t>
            </w:r>
            <w:proofErr w:type="spellStart"/>
            <w:r w:rsidRPr="00F709A8">
              <w:rPr>
                <w:rFonts w:ascii="Times New Roman" w:hAnsi="Times New Roman" w:cs="Times New Roman"/>
                <w:color w:val="000000"/>
              </w:rPr>
              <w:t>gantry</w:t>
            </w:r>
            <w:proofErr w:type="spellEnd"/>
            <w:r w:rsidRPr="00F709A8">
              <w:rPr>
                <w:rFonts w:ascii="Times New Roman" w:hAnsi="Times New Roman" w:cs="Times New Roman"/>
                <w:color w:val="000000"/>
              </w:rPr>
              <w:t>, jedna konsola akwizycyjna</w:t>
            </w:r>
          </w:p>
        </w:tc>
        <w:tc>
          <w:tcPr>
            <w:tcW w:w="1560" w:type="dxa"/>
            <w:vAlign w:val="center"/>
          </w:tcPr>
          <w:p w14:paraId="5205C6BA" w14:textId="77777777" w:rsidR="006C35ED" w:rsidRPr="000353C4" w:rsidRDefault="006C35ED" w:rsidP="006C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2A5B798" w14:textId="77777777" w:rsidR="006C35ED" w:rsidRPr="000353C4" w:rsidRDefault="006C35ED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A811CE1" w14:textId="3665E229" w:rsidR="006C35ED" w:rsidRPr="009248BF" w:rsidRDefault="006C35ED" w:rsidP="006C3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165C89CB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E223473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4142F220" w14:textId="53ACE618" w:rsidR="006D4202" w:rsidRPr="006C35ED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09A8">
              <w:rPr>
                <w:rFonts w:ascii="Times New Roman" w:hAnsi="Times New Roman" w:cs="Times New Roman"/>
                <w:color w:val="000000"/>
              </w:rPr>
              <w:t>Możliwość wykonywania badań PET i TK niezależnie</w:t>
            </w:r>
          </w:p>
        </w:tc>
        <w:tc>
          <w:tcPr>
            <w:tcW w:w="1560" w:type="dxa"/>
            <w:vAlign w:val="center"/>
          </w:tcPr>
          <w:p w14:paraId="404F8101" w14:textId="359F6FF5" w:rsidR="006D4202" w:rsidRPr="00C00A22" w:rsidRDefault="006D4202" w:rsidP="006D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514D2DD" w14:textId="77777777" w:rsidR="006D4202" w:rsidRPr="000353C4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AEA3769" w14:textId="7DA2186E" w:rsidR="006D4202" w:rsidRPr="000353C4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7D609C1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71EF1A2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7928B93A" w14:textId="3DA18089" w:rsidR="006D4202" w:rsidRPr="00F709A8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09A8">
              <w:rPr>
                <w:rFonts w:ascii="Times New Roman" w:hAnsi="Times New Roman" w:cs="Times New Roman"/>
              </w:rPr>
              <w:t xml:space="preserve">Średnica otworu </w:t>
            </w:r>
            <w:proofErr w:type="spellStart"/>
            <w:r w:rsidRPr="00F709A8">
              <w:rPr>
                <w:rFonts w:ascii="Times New Roman" w:hAnsi="Times New Roman" w:cs="Times New Roman"/>
              </w:rPr>
              <w:t>gantry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</w:rPr>
              <w:t>≥ 70 cm</w:t>
            </w:r>
          </w:p>
        </w:tc>
        <w:tc>
          <w:tcPr>
            <w:tcW w:w="1560" w:type="dxa"/>
            <w:vAlign w:val="center"/>
          </w:tcPr>
          <w:p w14:paraId="2A56DD22" w14:textId="1FC3D7D4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616E2CF4" w14:textId="77777777" w:rsidR="006D4202" w:rsidRPr="00F709A8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ABF710B" w14:textId="4E90367C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34F98756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E522507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tcBorders>
              <w:bottom w:val="single" w:sz="4" w:space="0" w:color="000000"/>
              <w:right w:val="single" w:sz="4" w:space="0" w:color="000000"/>
            </w:tcBorders>
          </w:tcPr>
          <w:p w14:paraId="306380BE" w14:textId="70187CF3" w:rsidR="006D4202" w:rsidRPr="00F709A8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09A8">
              <w:rPr>
                <w:rFonts w:ascii="Times New Roman" w:hAnsi="Times New Roman" w:cs="Times New Roman"/>
              </w:rPr>
              <w:t>Maksymalny zakres podłużny jednoczesnego obszaru skanowanego PET/TK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</w:rPr>
              <w:t>≥ 190 cm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4ED4F5" w14:textId="105F884A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F4CB657" w14:textId="77777777" w:rsidR="006D4202" w:rsidRPr="00F709A8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BDA7C" w14:textId="287D0F86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0BAF1641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3C9C23C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4E2D6963" w14:textId="0757FDA6" w:rsidR="006D4202" w:rsidRPr="00F709A8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09A8">
              <w:rPr>
                <w:rFonts w:ascii="Times New Roman" w:hAnsi="Times New Roman" w:cs="Times New Roman"/>
              </w:rPr>
              <w:t>Maksymalny wymiar poprzeczny obrazowania: PET (rzeczywiste, diagnostyczne FOV)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</w:rPr>
              <w:t>≥ 70 cm</w:t>
            </w:r>
          </w:p>
        </w:tc>
        <w:tc>
          <w:tcPr>
            <w:tcW w:w="1560" w:type="dxa"/>
            <w:vAlign w:val="center"/>
          </w:tcPr>
          <w:p w14:paraId="3F30E2E4" w14:textId="54E867CF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517D1C32" w14:textId="77777777" w:rsidR="006D4202" w:rsidRPr="00F709A8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23739BF" w14:textId="60C95BD3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07AF7A7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6F56220" w14:textId="77777777" w:rsidR="006D4202" w:rsidRPr="00FA11E1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1EC24D67" w14:textId="429610C7" w:rsidR="006D4202" w:rsidRPr="00F709A8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09A8">
              <w:rPr>
                <w:rFonts w:ascii="Times New Roman" w:hAnsi="Times New Roman" w:cs="Times New Roman"/>
              </w:rPr>
              <w:t>Maksymalny wymiar poprzeczny obrazowania: TK (rzeczywiste, diagnostyczne FOV)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</w:rPr>
              <w:t>≥ 50 cm</w:t>
            </w:r>
          </w:p>
        </w:tc>
        <w:tc>
          <w:tcPr>
            <w:tcW w:w="1560" w:type="dxa"/>
            <w:vAlign w:val="center"/>
          </w:tcPr>
          <w:p w14:paraId="1F2031DA" w14:textId="16038324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31252BF9" w14:textId="77777777" w:rsidR="006D4202" w:rsidRPr="00F709A8" w:rsidRDefault="006D4202" w:rsidP="006D42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A14B6A3" w14:textId="27D486D2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4202" w:rsidRPr="000353C4" w14:paraId="5FEA35B1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1FAB6D8" w14:textId="77777777" w:rsidR="006D4202" w:rsidRPr="00FA11E1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A456778" w14:textId="0905B1D1" w:rsidR="006D4202" w:rsidRPr="00F709A8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09A8">
              <w:rPr>
                <w:rFonts w:ascii="Times New Roman" w:hAnsi="Times New Roman" w:cs="Times New Roman"/>
              </w:rPr>
              <w:t>Maksymalny wymiar poprzeczny obrazowania TK (</w:t>
            </w:r>
            <w:proofErr w:type="spellStart"/>
            <w:r w:rsidRPr="00F709A8">
              <w:rPr>
                <w:rFonts w:ascii="Times New Roman" w:hAnsi="Times New Roman" w:cs="Times New Roman"/>
              </w:rPr>
              <w:t>efffective</w:t>
            </w:r>
            <w:proofErr w:type="spellEnd"/>
            <w:r w:rsidRPr="00F709A8">
              <w:rPr>
                <w:rFonts w:ascii="Times New Roman" w:hAnsi="Times New Roman" w:cs="Times New Roman"/>
              </w:rPr>
              <w:t xml:space="preserve"> FOV) do prawidłowej korekcji pochłaniania oraz do planowania leczenia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</w:rPr>
              <w:t>≥ 70 cm</w:t>
            </w:r>
          </w:p>
        </w:tc>
        <w:tc>
          <w:tcPr>
            <w:tcW w:w="1560" w:type="dxa"/>
            <w:vAlign w:val="center"/>
          </w:tcPr>
          <w:p w14:paraId="139F28C2" w14:textId="40F98703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5BEB5CDD" w14:textId="77777777" w:rsidR="006D4202" w:rsidRPr="00F709A8" w:rsidRDefault="006D4202" w:rsidP="006D42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F566193" w14:textId="1F44DF9D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4202" w:rsidRPr="008D045D" w14:paraId="4AA7174B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71AB9B8" w14:textId="77777777" w:rsidR="006D4202" w:rsidRPr="00FA11E1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17538955" w14:textId="126768D7" w:rsidR="006D4202" w:rsidRPr="00F709A8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09A8">
              <w:rPr>
                <w:rFonts w:ascii="Times New Roman" w:hAnsi="Times New Roman" w:cs="Times New Roman"/>
              </w:rPr>
              <w:t xml:space="preserve">Możliwość wykonywania badań PET i CT bramkowanych oddechowo (tzw. </w:t>
            </w:r>
            <w:proofErr w:type="spellStart"/>
            <w:r w:rsidRPr="00F709A8">
              <w:rPr>
                <w:rFonts w:ascii="Times New Roman" w:hAnsi="Times New Roman" w:cs="Times New Roman"/>
              </w:rPr>
              <w:t>phase-based</w:t>
            </w:r>
            <w:proofErr w:type="spellEnd"/>
            <w:r w:rsidRPr="00F709A8">
              <w:rPr>
                <w:rFonts w:ascii="Times New Roman" w:hAnsi="Times New Roman" w:cs="Times New Roman"/>
              </w:rPr>
              <w:t xml:space="preserve"> respiratory </w:t>
            </w:r>
            <w:proofErr w:type="spellStart"/>
            <w:r w:rsidRPr="00F709A8">
              <w:rPr>
                <w:rFonts w:ascii="Times New Roman" w:hAnsi="Times New Roman" w:cs="Times New Roman"/>
              </w:rPr>
              <w:t>gating</w:t>
            </w:r>
            <w:proofErr w:type="spellEnd"/>
            <w:r w:rsidRPr="00F709A8">
              <w:rPr>
                <w:rFonts w:ascii="Times New Roman" w:hAnsi="Times New Roman" w:cs="Times New Roman"/>
              </w:rPr>
              <w:t>). Protokoły bramkowania oddechowego są zintegrowane w ciągu skanu akwizycyjnego, nie wymagając ponownego skanowania obszaru czy repozycjonowania pacjenta. (licencja Producenta)</w:t>
            </w:r>
          </w:p>
        </w:tc>
        <w:tc>
          <w:tcPr>
            <w:tcW w:w="1560" w:type="dxa"/>
            <w:vAlign w:val="center"/>
          </w:tcPr>
          <w:p w14:paraId="7AC85246" w14:textId="18A00021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20943CF" w14:textId="77777777" w:rsidR="006D4202" w:rsidRPr="00F709A8" w:rsidRDefault="006D4202" w:rsidP="006D42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CD74CB8" w14:textId="30433BCA" w:rsidR="006D4202" w:rsidRPr="00F709A8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4202" w:rsidRPr="000353C4" w14:paraId="79E49AF1" w14:textId="77777777" w:rsidTr="009734D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5EA7BA4" w14:textId="77777777" w:rsidR="006D4202" w:rsidRPr="000353C4" w:rsidRDefault="006D4202" w:rsidP="006D4202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shd w:val="clear" w:color="auto" w:fill="auto"/>
            <w:vAlign w:val="center"/>
          </w:tcPr>
          <w:p w14:paraId="3C934C58" w14:textId="5DF95B07" w:rsidR="006D4202" w:rsidRPr="00726FEC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Stół aparatu PET/CT</w:t>
            </w:r>
          </w:p>
        </w:tc>
      </w:tr>
      <w:tr w:rsidR="006D4202" w:rsidRPr="000353C4" w14:paraId="424A6A6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218FA9F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3539555" w14:textId="581C926D" w:rsidR="006D4202" w:rsidRPr="004F5800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F5800">
              <w:rPr>
                <w:rFonts w:ascii="Times New Roman" w:hAnsi="Times New Roman" w:cs="Times New Roman"/>
              </w:rPr>
              <w:t xml:space="preserve">Blat diagnostyczny wykonany z materiału typu Carbon </w:t>
            </w:r>
            <w:proofErr w:type="spellStart"/>
            <w:r w:rsidRPr="004F5800">
              <w:rPr>
                <w:rFonts w:ascii="Times New Roman" w:hAnsi="Times New Roman" w:cs="Times New Roman"/>
              </w:rPr>
              <w:t>Fibre</w:t>
            </w:r>
            <w:proofErr w:type="spellEnd"/>
            <w:r w:rsidRPr="004F5800">
              <w:rPr>
                <w:rFonts w:ascii="Times New Roman" w:hAnsi="Times New Roman" w:cs="Times New Roman"/>
              </w:rPr>
              <w:t xml:space="preserve"> lub innego równoważnego co do tłumienia promieniowania </w:t>
            </w:r>
            <w:proofErr w:type="spellStart"/>
            <w:r w:rsidRPr="004F5800">
              <w:rPr>
                <w:rFonts w:ascii="Times New Roman" w:hAnsi="Times New Roman" w:cs="Times New Roman"/>
              </w:rPr>
              <w:t>rtg</w:t>
            </w:r>
            <w:proofErr w:type="spellEnd"/>
            <w:r w:rsidRPr="004F58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5894A31D" w14:textId="70839619" w:rsidR="006D4202" w:rsidRDefault="006D4202" w:rsidP="006D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59426314" w14:textId="77777777" w:rsidR="006D4202" w:rsidRPr="000353C4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2DFE469" w14:textId="1E597F3D" w:rsidR="006D4202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129F6BE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BB503A1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0A58FCF3" w14:textId="5B2A425A" w:rsidR="006D4202" w:rsidRPr="004F5800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F5800">
              <w:rPr>
                <w:rFonts w:ascii="Times New Roman" w:hAnsi="Times New Roman" w:cs="Times New Roman"/>
              </w:rPr>
              <w:t xml:space="preserve">Blat płaski do radioterapii z materiału typu Carbon </w:t>
            </w:r>
            <w:proofErr w:type="spellStart"/>
            <w:r w:rsidRPr="004F5800">
              <w:rPr>
                <w:rFonts w:ascii="Times New Roman" w:hAnsi="Times New Roman" w:cs="Times New Roman"/>
              </w:rPr>
              <w:t>Fibre</w:t>
            </w:r>
            <w:proofErr w:type="spellEnd"/>
            <w:r w:rsidRPr="004F5800">
              <w:rPr>
                <w:rFonts w:ascii="Times New Roman" w:hAnsi="Times New Roman" w:cs="Times New Roman"/>
              </w:rPr>
              <w:t xml:space="preserve"> lub innego równoważnego co do tłumienia promieniowania </w:t>
            </w:r>
            <w:proofErr w:type="spellStart"/>
            <w:r w:rsidRPr="004F5800">
              <w:rPr>
                <w:rFonts w:ascii="Times New Roman" w:hAnsi="Times New Roman" w:cs="Times New Roman"/>
              </w:rPr>
              <w:t>rtg</w:t>
            </w:r>
            <w:proofErr w:type="spellEnd"/>
            <w:r w:rsidRPr="004F5800">
              <w:rPr>
                <w:rFonts w:ascii="Times New Roman" w:hAnsi="Times New Roman" w:cs="Times New Roman"/>
              </w:rPr>
              <w:t xml:space="preserve"> umożliwiający mocowanie akcesoriów radioterapeutycznych i wyposażony w indeksowany system mocowania unieruchomień, współpracujący i w pełni kompatybilny ze stołami przyspieszaczy firmy </w:t>
            </w:r>
            <w:proofErr w:type="spellStart"/>
            <w:r w:rsidRPr="004F5800">
              <w:rPr>
                <w:rFonts w:ascii="Times New Roman" w:hAnsi="Times New Roman" w:cs="Times New Roman"/>
              </w:rPr>
              <w:t>Varian</w:t>
            </w:r>
            <w:proofErr w:type="spellEnd"/>
            <w:r w:rsidRPr="004F5800">
              <w:rPr>
                <w:rFonts w:ascii="Times New Roman" w:hAnsi="Times New Roman" w:cs="Times New Roman"/>
              </w:rPr>
              <w:t>, posiadanymi przez Zamawiającego</w:t>
            </w:r>
          </w:p>
        </w:tc>
        <w:tc>
          <w:tcPr>
            <w:tcW w:w="1560" w:type="dxa"/>
            <w:vAlign w:val="center"/>
          </w:tcPr>
          <w:p w14:paraId="12ECB85E" w14:textId="67FA1E7D" w:rsidR="006D4202" w:rsidRDefault="006D4202" w:rsidP="006D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E69A992" w14:textId="77777777" w:rsidR="006D4202" w:rsidRPr="000353C4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69AFB16" w14:textId="6A730C3E" w:rsidR="006D4202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0DE8CC03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F71373F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75613CE2" w14:textId="7F405FF7" w:rsidR="006D4202" w:rsidRPr="004F5800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F5800">
              <w:rPr>
                <w:rFonts w:ascii="Times New Roman" w:hAnsi="Times New Roman" w:cs="Times New Roman"/>
              </w:rPr>
              <w:t>Kołyska pediatryczna do palety (materacyk niemowlęcy), pomagający w ułożeniu i zabezpieczeniu małego dziecka podczas badania PET/TK.</w:t>
            </w:r>
          </w:p>
        </w:tc>
        <w:tc>
          <w:tcPr>
            <w:tcW w:w="1560" w:type="dxa"/>
            <w:vAlign w:val="center"/>
          </w:tcPr>
          <w:p w14:paraId="2E699181" w14:textId="5F1EEE7E" w:rsidR="006D4202" w:rsidRDefault="006D4202" w:rsidP="006D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2FFCED1" w14:textId="77777777" w:rsidR="006D4202" w:rsidRPr="000353C4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AADF04E" w14:textId="5AA9927E" w:rsidR="006D4202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12532D21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34E0453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C5FFF2C" w14:textId="260E76E0" w:rsidR="006D4202" w:rsidRPr="004F5800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F5800">
              <w:rPr>
                <w:rFonts w:ascii="Times New Roman" w:hAnsi="Times New Roman" w:cs="Times New Roman"/>
                <w:color w:val="000000"/>
              </w:rPr>
              <w:t>Wymagane minimalne wyposażenie stołu:</w:t>
            </w:r>
          </w:p>
          <w:p w14:paraId="49CD02D7" w14:textId="77777777" w:rsidR="006D4202" w:rsidRPr="004F5800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F5800">
              <w:rPr>
                <w:rFonts w:ascii="Times New Roman" w:hAnsi="Times New Roman" w:cs="Times New Roman"/>
                <w:color w:val="000000"/>
              </w:rPr>
              <w:t>·       materac, pasy unieruchamiające pacjenta,</w:t>
            </w:r>
          </w:p>
          <w:p w14:paraId="58F2D35C" w14:textId="77777777" w:rsidR="006D4202" w:rsidRPr="004F5800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F5800">
              <w:rPr>
                <w:rFonts w:ascii="Times New Roman" w:hAnsi="Times New Roman" w:cs="Times New Roman"/>
                <w:color w:val="000000"/>
              </w:rPr>
              <w:t>·       podpórka pod głowę pozbawiona elementów metalowych,</w:t>
            </w:r>
          </w:p>
          <w:p w14:paraId="76A367C8" w14:textId="77777777" w:rsidR="006D4202" w:rsidRPr="004F5800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F5800">
              <w:rPr>
                <w:rFonts w:ascii="Times New Roman" w:hAnsi="Times New Roman" w:cs="Times New Roman"/>
                <w:color w:val="000000"/>
              </w:rPr>
              <w:t>·       podpórka na głowę i ręce (do badań klatki piersiowej, brzucha i kręgosłupa)</w:t>
            </w:r>
          </w:p>
          <w:p w14:paraId="4308E122" w14:textId="75472BEE" w:rsidR="006D4202" w:rsidRPr="004F5800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·       podpórka pod kolana</w:t>
            </w:r>
          </w:p>
        </w:tc>
        <w:tc>
          <w:tcPr>
            <w:tcW w:w="1560" w:type="dxa"/>
            <w:vAlign w:val="center"/>
          </w:tcPr>
          <w:p w14:paraId="46B1AE4B" w14:textId="417B81E2" w:rsidR="006D4202" w:rsidRDefault="006D4202" w:rsidP="006D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9783E07" w14:textId="77777777" w:rsidR="006D4202" w:rsidRPr="000353C4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4F050AA" w14:textId="0D871D13" w:rsidR="006D4202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47B9CBC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BF6F447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C05FE7D" w14:textId="5DCF1A82" w:rsidR="006D4202" w:rsidRPr="004F5800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F5800">
              <w:rPr>
                <w:rFonts w:ascii="Times New Roman" w:hAnsi="Times New Roman" w:cs="Times New Roman"/>
                <w:color w:val="000000"/>
              </w:rPr>
              <w:t xml:space="preserve">Konstrukcja stołu i blatu stołu bez dodatkowych podpór, rolek pośrednich i temu podobnych elementów wsporczych, która zapewnia dokładność zachowania ustawienia blatu stołu w pionie max 0,5mm w pełnym zakresie jego ruchu wzdłużnego, bez odchylenia pomiędzy skanem CT i PET tzw. „no </w:t>
            </w:r>
            <w:proofErr w:type="spellStart"/>
            <w:r w:rsidRPr="004F5800">
              <w:rPr>
                <w:rFonts w:ascii="Times New Roman" w:hAnsi="Times New Roman" w:cs="Times New Roman"/>
                <w:color w:val="000000"/>
              </w:rPr>
              <w:t>deflection</w:t>
            </w:r>
            <w:proofErr w:type="spellEnd"/>
            <w:r w:rsidRPr="004F5800">
              <w:rPr>
                <w:rFonts w:ascii="Times New Roman" w:hAnsi="Times New Roman" w:cs="Times New Roman"/>
                <w:color w:val="000000"/>
              </w:rPr>
              <w:t>” czyli bez ugięcia pod wpływem ciężaru pacjenta.</w:t>
            </w:r>
          </w:p>
        </w:tc>
        <w:tc>
          <w:tcPr>
            <w:tcW w:w="1560" w:type="dxa"/>
            <w:vAlign w:val="center"/>
          </w:tcPr>
          <w:p w14:paraId="3D00F22E" w14:textId="52071A5E" w:rsidR="006D4202" w:rsidRDefault="006D4202" w:rsidP="006D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6857906C" w14:textId="77777777" w:rsidR="006D4202" w:rsidRPr="000353C4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24C648B" w14:textId="13731635" w:rsidR="006D4202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7D70F88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DCBCD11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4E86D6FF" w14:textId="6EE02418" w:rsidR="006D4202" w:rsidRPr="004F5800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F5800">
              <w:rPr>
                <w:rFonts w:ascii="Times New Roman" w:hAnsi="Times New Roman" w:cs="Times New Roman"/>
                <w:color w:val="000000"/>
              </w:rPr>
              <w:t>Dokładność pozycjonowania stołu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>≤ 0,5 mm</w:t>
            </w:r>
          </w:p>
        </w:tc>
        <w:tc>
          <w:tcPr>
            <w:tcW w:w="1560" w:type="dxa"/>
            <w:vAlign w:val="center"/>
          </w:tcPr>
          <w:p w14:paraId="25F2DBF7" w14:textId="3B210F6C" w:rsidR="006D4202" w:rsidRDefault="006D4202" w:rsidP="006D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70ED58B6" w14:textId="77777777" w:rsidR="006D4202" w:rsidRPr="000353C4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C7130FB" w14:textId="41279A7D" w:rsidR="006D4202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01AEB9DB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09028E9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1D663CB" w14:textId="77777777" w:rsidR="006D4202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F5800">
              <w:rPr>
                <w:rFonts w:ascii="Times New Roman" w:hAnsi="Times New Roman" w:cs="Times New Roman"/>
                <w:color w:val="000000"/>
              </w:rPr>
              <w:t>Maksymalna masa pacjenta, przy której zachowana jest dokładność pozycjonowania stołu  ≤ 0,5 mm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14:paraId="157E6B22" w14:textId="4B94ADA5" w:rsidR="006D4202" w:rsidRPr="00C3632F" w:rsidRDefault="006D4202" w:rsidP="006D4202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C3632F">
              <w:rPr>
                <w:rFonts w:ascii="Times New Roman" w:hAnsi="Times New Roman" w:cs="Times New Roman"/>
                <w:b/>
                <w:color w:val="000000"/>
              </w:rPr>
              <w:t>≥ 200 kg</w:t>
            </w:r>
          </w:p>
        </w:tc>
        <w:tc>
          <w:tcPr>
            <w:tcW w:w="1560" w:type="dxa"/>
            <w:vAlign w:val="center"/>
          </w:tcPr>
          <w:p w14:paraId="2DE0ADD3" w14:textId="7F59B6B9" w:rsidR="006D4202" w:rsidRDefault="006D4202" w:rsidP="006D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1F795384" w14:textId="77777777" w:rsidR="006D4202" w:rsidRPr="000353C4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C85BCF5" w14:textId="275E7FD5" w:rsidR="006D4202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7CB8C663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1CB88A" w14:textId="77777777" w:rsidR="006D4202" w:rsidRPr="000353C4" w:rsidRDefault="006D4202" w:rsidP="006D420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3E03F89" w14:textId="5FA40F3E" w:rsidR="006D4202" w:rsidRPr="004F5800" w:rsidRDefault="006D4202" w:rsidP="006D420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F5800">
              <w:rPr>
                <w:rFonts w:ascii="Times New Roman" w:hAnsi="Times New Roman" w:cs="Times New Roman"/>
                <w:color w:val="000000"/>
              </w:rPr>
              <w:t xml:space="preserve">Sterowanie stołem zarówno z konsoli operatora jak i z </w:t>
            </w:r>
            <w:proofErr w:type="spellStart"/>
            <w:r w:rsidRPr="004F5800">
              <w:rPr>
                <w:rFonts w:ascii="Times New Roman" w:hAnsi="Times New Roman" w:cs="Times New Roman"/>
                <w:color w:val="000000"/>
              </w:rPr>
              <w:t>gantry</w:t>
            </w:r>
            <w:proofErr w:type="spellEnd"/>
            <w:r w:rsidRPr="004F5800">
              <w:rPr>
                <w:rFonts w:ascii="Times New Roman" w:hAnsi="Times New Roman" w:cs="Times New Roman"/>
                <w:color w:val="000000"/>
              </w:rPr>
              <w:t xml:space="preserve"> PET/TK</w:t>
            </w:r>
          </w:p>
        </w:tc>
        <w:tc>
          <w:tcPr>
            <w:tcW w:w="1560" w:type="dxa"/>
            <w:vAlign w:val="center"/>
          </w:tcPr>
          <w:p w14:paraId="1CF21422" w14:textId="4FA4CD46" w:rsidR="006D4202" w:rsidRPr="00C00A22" w:rsidRDefault="006D4202" w:rsidP="006D4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DFB1A05" w14:textId="77777777" w:rsidR="006D4202" w:rsidRPr="000353C4" w:rsidRDefault="006D4202" w:rsidP="006D42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337BF75" w14:textId="6F5AE0B9" w:rsidR="006D4202" w:rsidRPr="000353C4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202" w:rsidRPr="000353C4" w14:paraId="2E08807F" w14:textId="77777777" w:rsidTr="009734D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8D9FA9F" w14:textId="77777777" w:rsidR="006D4202" w:rsidRPr="000353C4" w:rsidRDefault="006D4202" w:rsidP="006D4202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shd w:val="clear" w:color="auto" w:fill="auto"/>
            <w:vAlign w:val="center"/>
          </w:tcPr>
          <w:p w14:paraId="6EFAFEA9" w14:textId="75E57C93" w:rsidR="006D4202" w:rsidRPr="00C072F9" w:rsidRDefault="006D4202" w:rsidP="006D4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odpowiedzialna za akwizycję PET</w:t>
            </w:r>
          </w:p>
        </w:tc>
      </w:tr>
      <w:tr w:rsidR="008C1C05" w:rsidRPr="000353C4" w14:paraId="2F3B9E6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C78180B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93703BE" w14:textId="6AFC3BF1" w:rsidR="008C1C05" w:rsidRPr="00340F3B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40F3B">
              <w:rPr>
                <w:rFonts w:ascii="Times New Roman" w:hAnsi="Times New Roman" w:cs="Times New Roman"/>
                <w:color w:val="000000"/>
              </w:rPr>
              <w:t>Przesyłanie/konwersja sygnału analogowego (światła) z kryształów scyntylacyjnych PET z zastosowaniem technologii cyfrowego fotopowielacza krzemowego.</w:t>
            </w:r>
          </w:p>
          <w:p w14:paraId="763F02DC" w14:textId="7EBB60E5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40F3B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340F3B">
              <w:rPr>
                <w:rFonts w:ascii="Times New Roman" w:hAnsi="Times New Roman" w:cs="Times New Roman"/>
                <w:color w:val="000000"/>
              </w:rPr>
              <w:t>SiPM</w:t>
            </w:r>
            <w:proofErr w:type="spellEnd"/>
            <w:r w:rsidRPr="00340F3B">
              <w:rPr>
                <w:rFonts w:ascii="Times New Roman" w:hAnsi="Times New Roman" w:cs="Times New Roman"/>
                <w:color w:val="000000"/>
              </w:rPr>
              <w:t xml:space="preserve"> = solid-</w:t>
            </w:r>
            <w:proofErr w:type="spellStart"/>
            <w:r w:rsidRPr="00340F3B">
              <w:rPr>
                <w:rFonts w:ascii="Times New Roman" w:hAnsi="Times New Roman" w:cs="Times New Roman"/>
                <w:color w:val="000000"/>
              </w:rPr>
              <w:t>state</w:t>
            </w:r>
            <w:proofErr w:type="spellEnd"/>
            <w:r w:rsidRPr="00340F3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0F3B">
              <w:rPr>
                <w:rFonts w:ascii="Times New Roman" w:hAnsi="Times New Roman" w:cs="Times New Roman"/>
                <w:color w:val="000000"/>
              </w:rPr>
              <w:t>silicon</w:t>
            </w:r>
            <w:proofErr w:type="spellEnd"/>
            <w:r w:rsidRPr="00340F3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0F3B">
              <w:rPr>
                <w:rFonts w:ascii="Times New Roman" w:hAnsi="Times New Roman" w:cs="Times New Roman"/>
                <w:color w:val="000000"/>
              </w:rPr>
              <w:t>photomultiplier</w:t>
            </w:r>
            <w:proofErr w:type="spellEnd"/>
            <w:r w:rsidRPr="00340F3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40F3B">
              <w:rPr>
                <w:rFonts w:ascii="Times New Roman" w:hAnsi="Times New Roman" w:cs="Times New Roman"/>
                <w:color w:val="000000"/>
              </w:rPr>
              <w:t>dSiMP</w:t>
            </w:r>
            <w:proofErr w:type="spellEnd"/>
            <w:r w:rsidRPr="00340F3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0F3B">
              <w:rPr>
                <w:rFonts w:ascii="Times New Roman" w:hAnsi="Times New Roman" w:cs="Times New Roman"/>
                <w:color w:val="000000"/>
              </w:rPr>
              <w:t>digital</w:t>
            </w:r>
            <w:proofErr w:type="spellEnd"/>
            <w:r w:rsidRPr="00340F3B">
              <w:rPr>
                <w:rFonts w:ascii="Times New Roman" w:hAnsi="Times New Roman" w:cs="Times New Roman"/>
                <w:color w:val="000000"/>
              </w:rPr>
              <w:t xml:space="preserve"> solid-</w:t>
            </w:r>
            <w:proofErr w:type="spellStart"/>
            <w:r w:rsidRPr="00340F3B">
              <w:rPr>
                <w:rFonts w:ascii="Times New Roman" w:hAnsi="Times New Roman" w:cs="Times New Roman"/>
                <w:color w:val="000000"/>
              </w:rPr>
              <w:t>state</w:t>
            </w:r>
            <w:proofErr w:type="spellEnd"/>
            <w:r w:rsidRPr="00340F3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0F3B">
              <w:rPr>
                <w:rFonts w:ascii="Times New Roman" w:hAnsi="Times New Roman" w:cs="Times New Roman"/>
                <w:color w:val="000000"/>
              </w:rPr>
              <w:t>silicon</w:t>
            </w:r>
            <w:proofErr w:type="spellEnd"/>
            <w:r w:rsidRPr="00340F3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0F3B">
              <w:rPr>
                <w:rFonts w:ascii="Times New Roman" w:hAnsi="Times New Roman" w:cs="Times New Roman"/>
                <w:color w:val="000000"/>
              </w:rPr>
              <w:t>photomultiplier</w:t>
            </w:r>
            <w:proofErr w:type="spellEnd"/>
            <w:r w:rsidRPr="00340F3B">
              <w:rPr>
                <w:rFonts w:ascii="Times New Roman" w:hAnsi="Times New Roman" w:cs="Times New Roman"/>
                <w:color w:val="000000"/>
              </w:rPr>
              <w:t>, DPC Digital-</w:t>
            </w:r>
            <w:proofErr w:type="spellStart"/>
            <w:r w:rsidRPr="00340F3B">
              <w:rPr>
                <w:rFonts w:ascii="Times New Roman" w:hAnsi="Times New Roman" w:cs="Times New Roman"/>
                <w:color w:val="000000"/>
              </w:rPr>
              <w:t>Photon</w:t>
            </w:r>
            <w:proofErr w:type="spellEnd"/>
            <w:r w:rsidRPr="00340F3B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40F3B">
              <w:rPr>
                <w:rFonts w:ascii="Times New Roman" w:hAnsi="Times New Roman" w:cs="Times New Roman"/>
                <w:color w:val="000000"/>
              </w:rPr>
              <w:t>Counting</w:t>
            </w:r>
            <w:proofErr w:type="spellEnd"/>
            <w:r w:rsidRPr="00340F3B">
              <w:rPr>
                <w:rFonts w:ascii="Times New Roman" w:hAnsi="Times New Roman" w:cs="Times New Roman"/>
                <w:color w:val="000000"/>
              </w:rPr>
              <w:t>) lub inna tożsama technologia i odpo</w:t>
            </w:r>
            <w:r>
              <w:rPr>
                <w:rFonts w:ascii="Times New Roman" w:hAnsi="Times New Roman" w:cs="Times New Roman"/>
                <w:color w:val="000000"/>
              </w:rPr>
              <w:t>wiednia nazwa własna producenta</w:t>
            </w:r>
          </w:p>
        </w:tc>
        <w:tc>
          <w:tcPr>
            <w:tcW w:w="1560" w:type="dxa"/>
            <w:vAlign w:val="center"/>
          </w:tcPr>
          <w:p w14:paraId="6A5D99D8" w14:textId="74AF5A5F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  <w:r w:rsidR="00B22EE5">
              <w:rPr>
                <w:rFonts w:ascii="Times New Roman" w:hAnsi="Times New Roman" w:cs="Times New Roman"/>
              </w:rPr>
              <w:t>, opisać</w:t>
            </w:r>
          </w:p>
        </w:tc>
        <w:tc>
          <w:tcPr>
            <w:tcW w:w="3269" w:type="dxa"/>
            <w:vAlign w:val="center"/>
          </w:tcPr>
          <w:p w14:paraId="23E3F146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AABE34B" w14:textId="0C6C0AF4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1D95ACF9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D39578C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BE0662F" w14:textId="7BED45C8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40F3B">
              <w:rPr>
                <w:rFonts w:ascii="Times New Roman" w:hAnsi="Times New Roman" w:cs="Times New Roman"/>
                <w:color w:val="000000"/>
              </w:rPr>
              <w:t>Wielkość pola podstawy kryształu, (wynikająca z iloczynu długości boków podstawy pojedynczego kryształu) nie większa niż 21 mm2</w:t>
            </w:r>
          </w:p>
        </w:tc>
        <w:tc>
          <w:tcPr>
            <w:tcW w:w="1560" w:type="dxa"/>
            <w:vAlign w:val="center"/>
          </w:tcPr>
          <w:p w14:paraId="2ABCE820" w14:textId="4CEDD22D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  <w:r w:rsidR="00B22EE5">
              <w:rPr>
                <w:rFonts w:ascii="Times New Roman" w:hAnsi="Times New Roman" w:cs="Times New Roman"/>
              </w:rPr>
              <w:t>, opisać</w:t>
            </w:r>
          </w:p>
        </w:tc>
        <w:tc>
          <w:tcPr>
            <w:tcW w:w="3269" w:type="dxa"/>
            <w:vAlign w:val="center"/>
          </w:tcPr>
          <w:p w14:paraId="2C21DF4E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A807859" w14:textId="27ECDBEE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38CD465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219A09B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7C330D1B" w14:textId="43CCE231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66180">
              <w:rPr>
                <w:rFonts w:ascii="Times New Roman" w:hAnsi="Times New Roman" w:cs="Times New Roman"/>
                <w:color w:val="000000"/>
              </w:rPr>
              <w:t>Technologia TOF „</w:t>
            </w:r>
            <w:proofErr w:type="spellStart"/>
            <w:r w:rsidRPr="00C66180">
              <w:rPr>
                <w:rFonts w:ascii="Times New Roman" w:hAnsi="Times New Roman" w:cs="Times New Roman"/>
                <w:color w:val="000000"/>
              </w:rPr>
              <w:t>time</w:t>
            </w:r>
            <w:proofErr w:type="spellEnd"/>
            <w:r w:rsidRPr="00C66180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C66180">
              <w:rPr>
                <w:rFonts w:ascii="Times New Roman" w:hAnsi="Times New Roman" w:cs="Times New Roman"/>
                <w:color w:val="000000"/>
              </w:rPr>
              <w:t>flight</w:t>
            </w:r>
            <w:proofErr w:type="spellEnd"/>
            <w:r w:rsidRPr="00C66180">
              <w:rPr>
                <w:rFonts w:ascii="Times New Roman" w:hAnsi="Times New Roman" w:cs="Times New Roman"/>
                <w:color w:val="000000"/>
              </w:rPr>
              <w:t>” umożliwiająca doprecyzowanie miejsca anihilacji na podstawie różnicy pomiędzy czasami rejestracji pary kwantów gamma, będących wynikiem tej anihilacji. (licencja/oprogramowanie Producenta)</w:t>
            </w:r>
          </w:p>
        </w:tc>
        <w:tc>
          <w:tcPr>
            <w:tcW w:w="1560" w:type="dxa"/>
            <w:vAlign w:val="center"/>
          </w:tcPr>
          <w:p w14:paraId="4D8ACADB" w14:textId="0CD664FC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60950BBF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0F09692" w14:textId="44BDF029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2C90EF9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1338722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0D3EB10" w14:textId="1609A00F" w:rsidR="008C1C05" w:rsidRPr="00983C5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66180">
              <w:rPr>
                <w:rFonts w:ascii="Times New Roman" w:hAnsi="Times New Roman" w:cs="Times New Roman"/>
                <w:color w:val="000000"/>
              </w:rPr>
              <w:t>Rozdzielczość czasowa systemu TOF (</w:t>
            </w:r>
            <w:proofErr w:type="spellStart"/>
            <w:r w:rsidRPr="00C66180">
              <w:rPr>
                <w:rFonts w:ascii="Times New Roman" w:hAnsi="Times New Roman" w:cs="Times New Roman"/>
                <w:color w:val="000000"/>
              </w:rPr>
              <w:t>ps</w:t>
            </w:r>
            <w:proofErr w:type="spellEnd"/>
            <w:r w:rsidRPr="00C66180">
              <w:rPr>
                <w:rFonts w:ascii="Times New Roman" w:hAnsi="Times New Roman" w:cs="Times New Roman"/>
                <w:color w:val="000000"/>
              </w:rPr>
              <w:t>) wg obowiązujących standardów NEMA-2018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 xml:space="preserve">≤ 390 </w:t>
            </w:r>
            <w:proofErr w:type="spellStart"/>
            <w:r w:rsidRPr="00C3632F">
              <w:rPr>
                <w:rFonts w:ascii="Times New Roman" w:hAnsi="Times New Roman" w:cs="Times New Roman"/>
                <w:b/>
                <w:color w:val="000000"/>
              </w:rPr>
              <w:t>ps</w:t>
            </w:r>
            <w:proofErr w:type="spellEnd"/>
          </w:p>
        </w:tc>
        <w:tc>
          <w:tcPr>
            <w:tcW w:w="1560" w:type="dxa"/>
            <w:vAlign w:val="center"/>
          </w:tcPr>
          <w:p w14:paraId="5CED71C5" w14:textId="6B65CA6F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1C326BCF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55EAFF3" w14:textId="45B31F4C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16D7DCB0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F456148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3B1DBAD" w14:textId="2280A677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66180">
              <w:rPr>
                <w:rFonts w:ascii="Times New Roman" w:hAnsi="Times New Roman" w:cs="Times New Roman"/>
                <w:color w:val="000000"/>
              </w:rPr>
              <w:t xml:space="preserve">Algorytm rekonstrukcji PSF (Point </w:t>
            </w:r>
            <w:proofErr w:type="spellStart"/>
            <w:r w:rsidRPr="00C66180">
              <w:rPr>
                <w:rFonts w:ascii="Times New Roman" w:hAnsi="Times New Roman" w:cs="Times New Roman"/>
                <w:color w:val="000000"/>
              </w:rPr>
              <w:t>Spread</w:t>
            </w:r>
            <w:proofErr w:type="spellEnd"/>
            <w:r w:rsidRPr="00C6618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180">
              <w:rPr>
                <w:rFonts w:ascii="Times New Roman" w:hAnsi="Times New Roman" w:cs="Times New Roman"/>
                <w:color w:val="000000"/>
              </w:rPr>
              <w:t>Function</w:t>
            </w:r>
            <w:proofErr w:type="spellEnd"/>
            <w:r w:rsidRPr="00C66180">
              <w:rPr>
                <w:rFonts w:ascii="Times New Roman" w:hAnsi="Times New Roman" w:cs="Times New Roman"/>
                <w:color w:val="000000"/>
              </w:rPr>
              <w:t>). (licencja/oprogramowanie Producenta).</w:t>
            </w:r>
          </w:p>
        </w:tc>
        <w:tc>
          <w:tcPr>
            <w:tcW w:w="1560" w:type="dxa"/>
            <w:vAlign w:val="center"/>
          </w:tcPr>
          <w:p w14:paraId="4945517E" w14:textId="4C89619F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35419DB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C709A2F" w14:textId="03C48E9D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40437D78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23A0DB9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82D5E7B" w14:textId="30030716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66180">
              <w:rPr>
                <w:rFonts w:ascii="Times New Roman" w:hAnsi="Times New Roman" w:cs="Times New Roman"/>
                <w:color w:val="000000"/>
              </w:rPr>
              <w:t>Czułość w trybie akwizycji 3D z korekcją zdarzeń rozproszonych wg NEMA-2018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 xml:space="preserve">≥ 15 </w:t>
            </w:r>
            <w:proofErr w:type="spellStart"/>
            <w:r w:rsidRPr="00C3632F">
              <w:rPr>
                <w:rFonts w:ascii="Times New Roman" w:hAnsi="Times New Roman" w:cs="Times New Roman"/>
                <w:b/>
                <w:color w:val="000000"/>
              </w:rPr>
              <w:t>cps</w:t>
            </w:r>
            <w:proofErr w:type="spellEnd"/>
            <w:r w:rsidRPr="00C3632F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C3632F">
              <w:rPr>
                <w:rFonts w:ascii="Times New Roman" w:hAnsi="Times New Roman" w:cs="Times New Roman"/>
                <w:b/>
                <w:color w:val="000000"/>
              </w:rPr>
              <w:t>kBq</w:t>
            </w:r>
            <w:proofErr w:type="spellEnd"/>
          </w:p>
        </w:tc>
        <w:tc>
          <w:tcPr>
            <w:tcW w:w="1560" w:type="dxa"/>
            <w:vAlign w:val="center"/>
          </w:tcPr>
          <w:p w14:paraId="3F8E5A4B" w14:textId="33EC9862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532ABF45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9F8939B" w14:textId="269FD502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70BFF37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8314E77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69C1E53" w14:textId="26B8DB57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66180">
              <w:rPr>
                <w:rFonts w:ascii="Times New Roman" w:hAnsi="Times New Roman" w:cs="Times New Roman"/>
                <w:color w:val="000000"/>
              </w:rPr>
              <w:t xml:space="preserve">Czułość efektywna w trybie akwizycji 3D z korekcją zdarzeń rozproszonych z aktywnym algorytmem TOF bez aktywnego algorytmu "PSF" Point </w:t>
            </w:r>
            <w:proofErr w:type="spellStart"/>
            <w:r w:rsidRPr="00C66180">
              <w:rPr>
                <w:rFonts w:ascii="Times New Roman" w:hAnsi="Times New Roman" w:cs="Times New Roman"/>
                <w:color w:val="000000"/>
              </w:rPr>
              <w:t>Spread</w:t>
            </w:r>
            <w:proofErr w:type="spellEnd"/>
            <w:r w:rsidRPr="00C6618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180">
              <w:rPr>
                <w:rFonts w:ascii="Times New Roman" w:hAnsi="Times New Roman" w:cs="Times New Roman"/>
                <w:color w:val="000000"/>
              </w:rPr>
              <w:t>Function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 xml:space="preserve">≥ 75 </w:t>
            </w:r>
            <w:proofErr w:type="spellStart"/>
            <w:r w:rsidRPr="00C3632F">
              <w:rPr>
                <w:rFonts w:ascii="Times New Roman" w:hAnsi="Times New Roman" w:cs="Times New Roman"/>
                <w:b/>
                <w:color w:val="000000"/>
              </w:rPr>
              <w:t>cps</w:t>
            </w:r>
            <w:proofErr w:type="spellEnd"/>
            <w:r w:rsidRPr="00C3632F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C3632F">
              <w:rPr>
                <w:rFonts w:ascii="Times New Roman" w:hAnsi="Times New Roman" w:cs="Times New Roman"/>
                <w:b/>
                <w:color w:val="000000"/>
              </w:rPr>
              <w:t>kBq</w:t>
            </w:r>
            <w:proofErr w:type="spellEnd"/>
          </w:p>
        </w:tc>
        <w:tc>
          <w:tcPr>
            <w:tcW w:w="1560" w:type="dxa"/>
            <w:vAlign w:val="center"/>
          </w:tcPr>
          <w:p w14:paraId="7E4409A0" w14:textId="7F429B95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1332372A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87AF970" w14:textId="5CBB7B80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5379D181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EECC5ED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C71BB8A" w14:textId="3C5543E4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 xml:space="preserve">Wartość szczytowa 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zliczeń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Peak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 NEC (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kcps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)  bez aktywnego algorytmu "PSF" Point 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Spread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Function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>≥ 220 (</w:t>
            </w:r>
            <w:proofErr w:type="spellStart"/>
            <w:r w:rsidRPr="00C3632F">
              <w:rPr>
                <w:rFonts w:ascii="Times New Roman" w:hAnsi="Times New Roman" w:cs="Times New Roman"/>
                <w:b/>
                <w:color w:val="000000"/>
              </w:rPr>
              <w:t>kcps</w:t>
            </w:r>
            <w:proofErr w:type="spellEnd"/>
            <w:r w:rsidRPr="00C3632F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560" w:type="dxa"/>
            <w:vAlign w:val="center"/>
          </w:tcPr>
          <w:p w14:paraId="22345794" w14:textId="6C7B6349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4D109651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0637B31" w14:textId="1F7DCC2C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201678E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3671F61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62B73BA" w14:textId="09E6D844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 xml:space="preserve">Efektywna wartość szczytowa 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zliczeń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Peak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 NEC (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kcps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) z aktywnym algorytmem TOF  bez aktywnego algorytmu "PSF" Point 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Spread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Function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 xml:space="preserve">≥ 900 </w:t>
            </w:r>
            <w:proofErr w:type="spellStart"/>
            <w:r w:rsidRPr="00C3632F">
              <w:rPr>
                <w:rFonts w:ascii="Times New Roman" w:hAnsi="Times New Roman" w:cs="Times New Roman"/>
                <w:b/>
                <w:color w:val="000000"/>
              </w:rPr>
              <w:t>kcps</w:t>
            </w:r>
            <w:proofErr w:type="spellEnd"/>
          </w:p>
        </w:tc>
        <w:tc>
          <w:tcPr>
            <w:tcW w:w="1560" w:type="dxa"/>
            <w:vAlign w:val="center"/>
          </w:tcPr>
          <w:p w14:paraId="6C0375D8" w14:textId="33A221D0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5BCCC00D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8F091CE" w14:textId="7DFAE647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42C7E62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92A2E49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23E689C" w14:textId="3E96AD2A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 xml:space="preserve">Akwizycja i rekonstrukcja w trybie „list 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>” dla badań statycznych i dynamicznych (w tym całego ciała) oraz badań z bramkowaniem.</w:t>
            </w:r>
          </w:p>
        </w:tc>
        <w:tc>
          <w:tcPr>
            <w:tcW w:w="1560" w:type="dxa"/>
            <w:vAlign w:val="center"/>
          </w:tcPr>
          <w:p w14:paraId="2F3FE417" w14:textId="771A7F84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11E21C5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C026420" w14:textId="1D612556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0FF46D05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9D47D46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7D68E84" w14:textId="6C552ACF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Korekcja pochłaniania promieniowania gamma rejestrowanego w badaniu PET na podstawie danych z badania CT</w:t>
            </w:r>
          </w:p>
        </w:tc>
        <w:tc>
          <w:tcPr>
            <w:tcW w:w="1560" w:type="dxa"/>
            <w:vAlign w:val="center"/>
          </w:tcPr>
          <w:p w14:paraId="3D263E9C" w14:textId="3CE883B0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F3CCCA5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A83DE4F" w14:textId="32E2223E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6B02CA0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F071702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E0A786D" w14:textId="3DF5CF0A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Minimalna szerokość okna czasowego koincydencji w trybie 3D dla diagnostycznego pop</w:t>
            </w:r>
            <w:r>
              <w:rPr>
                <w:rFonts w:ascii="Times New Roman" w:hAnsi="Times New Roman" w:cs="Times New Roman"/>
                <w:color w:val="000000"/>
              </w:rPr>
              <w:t>rzecznego pola obrazowania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 xml:space="preserve">≤ 4,9 </w:t>
            </w:r>
            <w:proofErr w:type="spellStart"/>
            <w:r w:rsidRPr="00C3632F">
              <w:rPr>
                <w:rFonts w:ascii="Times New Roman" w:hAnsi="Times New Roman" w:cs="Times New Roman"/>
                <w:b/>
                <w:color w:val="000000"/>
              </w:rPr>
              <w:t>ns</w:t>
            </w:r>
            <w:proofErr w:type="spellEnd"/>
          </w:p>
        </w:tc>
        <w:tc>
          <w:tcPr>
            <w:tcW w:w="1560" w:type="dxa"/>
            <w:vAlign w:val="center"/>
          </w:tcPr>
          <w:p w14:paraId="32BAB920" w14:textId="2C5A58B0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405CDE10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5BFD2B2" w14:textId="284881BC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59908205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6114A22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055C6DA" w14:textId="0DE590C7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Rozproszenie (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scatter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fraction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) przy 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Peak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 NEC (%)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>≤ 41 %</w:t>
            </w:r>
          </w:p>
        </w:tc>
        <w:tc>
          <w:tcPr>
            <w:tcW w:w="1560" w:type="dxa"/>
            <w:vAlign w:val="center"/>
          </w:tcPr>
          <w:p w14:paraId="05BA847F" w14:textId="3BD886A9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5F79B3CF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AF3E477" w14:textId="380E7253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6732C69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7D8DD06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75A3F589" w14:textId="5D0731AA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Maksymalne poprzeczne pole obrazowania FOV w trakcie akwizycji (</w:t>
            </w:r>
            <w:proofErr w:type="spellStart"/>
            <w:r w:rsidRPr="00F93E49">
              <w:rPr>
                <w:rFonts w:ascii="Times New Roman" w:hAnsi="Times New Roman" w:cs="Times New Roman"/>
                <w:color w:val="000000"/>
              </w:rPr>
              <w:t>transaxial</w:t>
            </w:r>
            <w:proofErr w:type="spellEnd"/>
            <w:r w:rsidRPr="00F93E49">
              <w:rPr>
                <w:rFonts w:ascii="Times New Roman" w:hAnsi="Times New Roman" w:cs="Times New Roman"/>
                <w:color w:val="000000"/>
              </w:rPr>
              <w:t xml:space="preserve"> FOV) (cm)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>≥ 70 cm</w:t>
            </w:r>
          </w:p>
        </w:tc>
        <w:tc>
          <w:tcPr>
            <w:tcW w:w="1560" w:type="dxa"/>
            <w:vAlign w:val="center"/>
          </w:tcPr>
          <w:p w14:paraId="2E0F781D" w14:textId="59FA8597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227FC761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B109BB9" w14:textId="1D44B8CA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200622E3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1FAA75E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7F38051" w14:textId="59F18D6C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Rozdzielczość energetyczna (wg NEMA NU2-2018) [%]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>≤ 10 %</w:t>
            </w:r>
          </w:p>
        </w:tc>
        <w:tc>
          <w:tcPr>
            <w:tcW w:w="1560" w:type="dxa"/>
            <w:vAlign w:val="center"/>
          </w:tcPr>
          <w:p w14:paraId="438E5B9F" w14:textId="4BA3ABEB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475DC571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36C625B" w14:textId="7071E0AA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3F4AAD49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028EA38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CAE2C55" w14:textId="5FBCE514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Maksymalne osiowe pole obrazowania FOV w trakcie akwizycji (cm)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>≥ 25 cm</w:t>
            </w:r>
          </w:p>
        </w:tc>
        <w:tc>
          <w:tcPr>
            <w:tcW w:w="1560" w:type="dxa"/>
            <w:vAlign w:val="center"/>
          </w:tcPr>
          <w:p w14:paraId="10E75F05" w14:textId="3C1836E5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173507C1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8772EC8" w14:textId="5BC4DE4E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2840C42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2FC26DE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E6BED64" w14:textId="3CCF757A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Możliwość wykonania rekonstrukcji FBP oraz rekonstrukcji iteracyjnej pozyskanych danych</w:t>
            </w:r>
          </w:p>
        </w:tc>
        <w:tc>
          <w:tcPr>
            <w:tcW w:w="1560" w:type="dxa"/>
            <w:vAlign w:val="center"/>
          </w:tcPr>
          <w:p w14:paraId="5D7EC787" w14:textId="555F444E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63B97AB4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DA54479" w14:textId="2A913C9D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5774957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7B2D39A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4D6F3677" w14:textId="4971A600" w:rsidR="008C1C05" w:rsidRPr="00F93E49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Rozdzielczość przestrzenna – osiowa</w:t>
            </w:r>
          </w:p>
          <w:p w14:paraId="3E895E74" w14:textId="246CFB67" w:rsidR="008C1C05" w:rsidRPr="00C3632F" w:rsidRDefault="008C1C05" w:rsidP="008C1C05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po rekonstrukcji iteracyjnej - FWHM @ 1 cm (mm)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>≤ 4</w:t>
            </w:r>
          </w:p>
          <w:p w14:paraId="36F95F35" w14:textId="77777777" w:rsidR="008C1C05" w:rsidRPr="00F93E49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Bez wykorzystywania sztucznej inteligencji.</w:t>
            </w:r>
          </w:p>
          <w:p w14:paraId="026CB24F" w14:textId="430252D6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Załączyć dane Producenta</w:t>
            </w:r>
          </w:p>
        </w:tc>
        <w:tc>
          <w:tcPr>
            <w:tcW w:w="1560" w:type="dxa"/>
            <w:vAlign w:val="center"/>
          </w:tcPr>
          <w:p w14:paraId="1F0141BD" w14:textId="4ED7AAD3" w:rsidR="008C1C05" w:rsidRDefault="00626537" w:rsidP="00626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  <w:vAlign w:val="center"/>
          </w:tcPr>
          <w:p w14:paraId="0E43BC9E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7A7B26B" w14:textId="20CF2A8E" w:rsidR="008C1C05" w:rsidRDefault="008C1C05" w:rsidP="0002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39D8E1FB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E9744A9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596AF53" w14:textId="7E0E857B" w:rsidR="008C1C05" w:rsidRPr="00F93E49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Rozdzielczość przestrzenna – osiowa</w:t>
            </w:r>
          </w:p>
          <w:p w14:paraId="50D0C144" w14:textId="03B73036" w:rsidR="008C1C05" w:rsidRPr="00F93E49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po rekonstrukcji iteracyjnej - FWHM @ 10 cm (mm)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>≤ 5</w:t>
            </w:r>
          </w:p>
          <w:p w14:paraId="73933DCB" w14:textId="77777777" w:rsidR="008C1C05" w:rsidRPr="00F93E49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Bez wykorzystywania sztucznej inteligencji.</w:t>
            </w:r>
          </w:p>
          <w:p w14:paraId="7C31CAFA" w14:textId="0951FE26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Załączyć dane Producenta</w:t>
            </w:r>
          </w:p>
        </w:tc>
        <w:tc>
          <w:tcPr>
            <w:tcW w:w="1560" w:type="dxa"/>
            <w:vAlign w:val="center"/>
          </w:tcPr>
          <w:p w14:paraId="1D44D2E2" w14:textId="2C5A6FA3" w:rsidR="008C1C05" w:rsidRDefault="00626537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  <w:vAlign w:val="center"/>
          </w:tcPr>
          <w:p w14:paraId="745AD787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C0B556B" w14:textId="46A0430E" w:rsidR="008C1C05" w:rsidRDefault="008C1C05" w:rsidP="0002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634F436B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0623A8A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4D9CA63C" w14:textId="2914998A" w:rsidR="008C1C05" w:rsidRPr="00F93E49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Rozdzielczość przestrzenna – poprzeczna</w:t>
            </w:r>
          </w:p>
          <w:p w14:paraId="0DA22258" w14:textId="568C3859" w:rsidR="008C1C05" w:rsidRPr="00F93E49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po rekonstrukcji iteracyjnej - FWHM @ 1 cm (mm)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>≤ 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00C3594" w14:textId="77777777" w:rsidR="008C1C05" w:rsidRPr="00F93E49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Bez wykorzystywania sztucznej inteligencji.</w:t>
            </w:r>
          </w:p>
          <w:p w14:paraId="636CB099" w14:textId="095B1E5F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Załączyć dane Producenta</w:t>
            </w:r>
          </w:p>
        </w:tc>
        <w:tc>
          <w:tcPr>
            <w:tcW w:w="1560" w:type="dxa"/>
            <w:vAlign w:val="center"/>
          </w:tcPr>
          <w:p w14:paraId="5BBFD012" w14:textId="687C783B" w:rsidR="008C1C05" w:rsidRDefault="00626537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  <w:vAlign w:val="center"/>
          </w:tcPr>
          <w:p w14:paraId="689E315B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7D862B4" w14:textId="0D395624" w:rsidR="008C1C05" w:rsidRDefault="008C1C05" w:rsidP="0002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6712DCC3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2DA4A44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CBCF251" w14:textId="370F41DC" w:rsidR="008C1C05" w:rsidRPr="00F93E49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Rozdzielczość przestrzenna – poprzeczna</w:t>
            </w:r>
          </w:p>
          <w:p w14:paraId="57A904A3" w14:textId="2720BB98" w:rsidR="008C1C05" w:rsidRPr="00F93E49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po rekonstrukcji iteracyjnej - FWHM @ 10 cm (mm)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32F">
              <w:rPr>
                <w:rFonts w:ascii="Times New Roman" w:hAnsi="Times New Roman" w:cs="Times New Roman"/>
                <w:b/>
                <w:color w:val="000000"/>
              </w:rPr>
              <w:t>≤ 5</w:t>
            </w:r>
          </w:p>
          <w:p w14:paraId="0A23BAAF" w14:textId="77777777" w:rsidR="008C1C05" w:rsidRPr="00F93E49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Bez wykorzystywania sztucznej inteligencji.</w:t>
            </w:r>
          </w:p>
          <w:p w14:paraId="3B601035" w14:textId="45531A6F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Załączyć dane Producenta</w:t>
            </w:r>
          </w:p>
        </w:tc>
        <w:tc>
          <w:tcPr>
            <w:tcW w:w="1560" w:type="dxa"/>
            <w:vAlign w:val="center"/>
          </w:tcPr>
          <w:p w14:paraId="6F5AA4AE" w14:textId="21E124F9" w:rsidR="008C1C05" w:rsidRDefault="00626537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  <w:vAlign w:val="center"/>
          </w:tcPr>
          <w:p w14:paraId="036CA8D7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A95FCDE" w14:textId="6BAA65B0" w:rsidR="008C1C05" w:rsidRDefault="008C1C05" w:rsidP="00027D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5E86062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6C83484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49935C48" w14:textId="2F66A3C1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93E49">
              <w:rPr>
                <w:rFonts w:ascii="Times New Roman" w:hAnsi="Times New Roman" w:cs="Times New Roman"/>
                <w:color w:val="000000"/>
              </w:rPr>
              <w:t>Dostępne matryce rekonstrukcji danych PET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E1634">
              <w:rPr>
                <w:rFonts w:ascii="Times New Roman" w:hAnsi="Times New Roman" w:cs="Times New Roman"/>
                <w:color w:val="000000"/>
              </w:rPr>
              <w:t xml:space="preserve">wymagany zakres </w:t>
            </w:r>
            <w:r>
              <w:rPr>
                <w:rFonts w:ascii="Times New Roman" w:hAnsi="Times New Roman" w:cs="Times New Roman"/>
                <w:color w:val="000000"/>
              </w:rPr>
              <w:t xml:space="preserve">min. </w:t>
            </w:r>
            <w:r w:rsidRPr="00CE1634">
              <w:rPr>
                <w:rFonts w:ascii="Times New Roman" w:hAnsi="Times New Roman" w:cs="Times New Roman"/>
                <w:b/>
                <w:color w:val="000000"/>
              </w:rPr>
              <w:t>od 128 x 128 do ≥ 380 x 380</w:t>
            </w:r>
          </w:p>
        </w:tc>
        <w:tc>
          <w:tcPr>
            <w:tcW w:w="1560" w:type="dxa"/>
            <w:vAlign w:val="center"/>
          </w:tcPr>
          <w:p w14:paraId="35482191" w14:textId="189101B2" w:rsidR="008C1C05" w:rsidRDefault="00626537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  <w:vAlign w:val="center"/>
          </w:tcPr>
          <w:p w14:paraId="2B3C8CF2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CF7EE83" w14:textId="030BFD23" w:rsidR="008C1C05" w:rsidRDefault="008C1C05" w:rsidP="00B457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6A27A82F" w14:textId="77777777" w:rsidTr="00FA77D1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D92885F" w14:textId="77777777" w:rsidR="008C1C05" w:rsidRPr="000353C4" w:rsidRDefault="008C1C05" w:rsidP="008C1C0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shd w:val="clear" w:color="auto" w:fill="auto"/>
            <w:vAlign w:val="center"/>
          </w:tcPr>
          <w:p w14:paraId="335BF736" w14:textId="68AAD6E9" w:rsidR="008C1C05" w:rsidRPr="004F669A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669A">
              <w:rPr>
                <w:rFonts w:ascii="Times New Roman" w:hAnsi="Times New Roman" w:cs="Times New Roman"/>
                <w:b/>
              </w:rPr>
              <w:t>Część odpowiedzialna za akwizycję TK</w:t>
            </w:r>
          </w:p>
        </w:tc>
      </w:tr>
      <w:tr w:rsidR="008C1C05" w:rsidRPr="000353C4" w14:paraId="17C9187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EE6A250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0ED93E7" w14:textId="62DE0D4D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72C14">
              <w:rPr>
                <w:rFonts w:ascii="Times New Roman" w:hAnsi="Times New Roman" w:cs="Times New Roman"/>
                <w:color w:val="000000"/>
              </w:rPr>
              <w:t>Liczba rzędów i przekrojów (</w:t>
            </w:r>
            <w:proofErr w:type="spellStart"/>
            <w:r w:rsidRPr="00272C14">
              <w:rPr>
                <w:rFonts w:ascii="Times New Roman" w:hAnsi="Times New Roman" w:cs="Times New Roman"/>
                <w:color w:val="000000"/>
              </w:rPr>
              <w:t>slice</w:t>
            </w:r>
            <w:proofErr w:type="spellEnd"/>
            <w:r w:rsidRPr="00272C14">
              <w:rPr>
                <w:rFonts w:ascii="Times New Roman" w:hAnsi="Times New Roman" w:cs="Times New Roman"/>
                <w:color w:val="000000"/>
              </w:rPr>
              <w:t xml:space="preserve">) akwizycyjnych w obrazie TK podczas jednego obrotu układu lampa RTG – detektor </w:t>
            </w:r>
            <w:r w:rsidRPr="00272C14">
              <w:rPr>
                <w:rFonts w:ascii="Times New Roman" w:hAnsi="Times New Roman" w:cs="Times New Roman"/>
                <w:b/>
                <w:color w:val="000000"/>
              </w:rPr>
              <w:t>≥ 64</w:t>
            </w:r>
          </w:p>
        </w:tc>
        <w:tc>
          <w:tcPr>
            <w:tcW w:w="1560" w:type="dxa"/>
            <w:vAlign w:val="center"/>
          </w:tcPr>
          <w:p w14:paraId="154FF1A4" w14:textId="00E82DC9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36F5E98F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30DE9A5" w14:textId="00A5E1A4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5B9B9AD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E2FB615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07694C60" w14:textId="429A7F03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E6C8C">
              <w:rPr>
                <w:rFonts w:ascii="Times New Roman" w:hAnsi="Times New Roman" w:cs="Times New Roman"/>
              </w:rPr>
              <w:t xml:space="preserve">Moc znamionowa generatora min. </w:t>
            </w:r>
            <w:r w:rsidRPr="009E6C8C">
              <w:rPr>
                <w:rFonts w:ascii="Times New Roman" w:hAnsi="Times New Roman" w:cs="Times New Roman"/>
                <w:b/>
              </w:rPr>
              <w:t>70 kW</w:t>
            </w:r>
          </w:p>
        </w:tc>
        <w:tc>
          <w:tcPr>
            <w:tcW w:w="1560" w:type="dxa"/>
            <w:vAlign w:val="center"/>
          </w:tcPr>
          <w:p w14:paraId="6DA3C561" w14:textId="075E4D08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3ED81785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30B17C5" w14:textId="76CE09F8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58D9BBC0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B90CFE6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7D84A38F" w14:textId="63D70040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E6C8C">
              <w:rPr>
                <w:rFonts w:ascii="Times New Roman" w:hAnsi="Times New Roman" w:cs="Times New Roman"/>
              </w:rPr>
              <w:t xml:space="preserve">Zakres możliwych automatycznych ustawień </w:t>
            </w:r>
            <w:proofErr w:type="spellStart"/>
            <w:r w:rsidRPr="009E6C8C">
              <w:rPr>
                <w:rFonts w:ascii="Times New Roman" w:hAnsi="Times New Roman" w:cs="Times New Roman"/>
              </w:rPr>
              <w:t>kV</w:t>
            </w:r>
            <w:proofErr w:type="spellEnd"/>
            <w:r w:rsidRPr="009E6C8C">
              <w:rPr>
                <w:rFonts w:ascii="Times New Roman" w:hAnsi="Times New Roman" w:cs="Times New Roman"/>
              </w:rPr>
              <w:t xml:space="preserve"> wg protokołów badań:</w:t>
            </w:r>
            <w:r>
              <w:rPr>
                <w:rFonts w:ascii="Times New Roman" w:hAnsi="Times New Roman" w:cs="Times New Roman"/>
              </w:rPr>
              <w:t xml:space="preserve"> min. </w:t>
            </w:r>
            <w:r w:rsidRPr="009E6C8C">
              <w:rPr>
                <w:rFonts w:ascii="Times New Roman" w:hAnsi="Times New Roman" w:cs="Times New Roman"/>
                <w:b/>
              </w:rPr>
              <w:t xml:space="preserve">70 – 140 </w:t>
            </w:r>
            <w:proofErr w:type="spellStart"/>
            <w:r w:rsidRPr="009E6C8C">
              <w:rPr>
                <w:rFonts w:ascii="Times New Roman" w:hAnsi="Times New Roman" w:cs="Times New Roman"/>
                <w:b/>
              </w:rPr>
              <w:t>kV</w:t>
            </w:r>
            <w:proofErr w:type="spellEnd"/>
          </w:p>
        </w:tc>
        <w:tc>
          <w:tcPr>
            <w:tcW w:w="1560" w:type="dxa"/>
            <w:vAlign w:val="center"/>
          </w:tcPr>
          <w:p w14:paraId="6483B2A3" w14:textId="59802C29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2B6903A3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6BD57AF" w14:textId="5961748A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28B10F00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404933C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E914083" w14:textId="23889342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E6C8C">
              <w:rPr>
                <w:rFonts w:ascii="Times New Roman" w:hAnsi="Times New Roman" w:cs="Times New Roman"/>
              </w:rPr>
              <w:t>Maksymalny prąd anody lampy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  <w:b/>
              </w:rPr>
              <w:t xml:space="preserve">≥ 600 </w:t>
            </w:r>
            <w:proofErr w:type="spellStart"/>
            <w:r w:rsidRPr="009E6C8C">
              <w:rPr>
                <w:rFonts w:ascii="Times New Roman" w:hAnsi="Times New Roman" w:cs="Times New Roman"/>
                <w:b/>
              </w:rPr>
              <w:t>mA</w:t>
            </w:r>
            <w:proofErr w:type="spellEnd"/>
          </w:p>
        </w:tc>
        <w:tc>
          <w:tcPr>
            <w:tcW w:w="1560" w:type="dxa"/>
            <w:vAlign w:val="center"/>
          </w:tcPr>
          <w:p w14:paraId="1564A1A8" w14:textId="7FFE0C24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509A691F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EBFA1DA" w14:textId="0AC0CAD9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5E7665D8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B992E92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2E9C5A07" w14:textId="2152EB68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E6C8C">
              <w:rPr>
                <w:rFonts w:ascii="Times New Roman" w:hAnsi="Times New Roman" w:cs="Times New Roman"/>
              </w:rPr>
              <w:t>Pojemność cieplna anody (w przypadku konstrukcji lampy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</w:rPr>
              <w:t>z bezpośrednim chłodzeniem anody przez płyn chłodzący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  <w:b/>
              </w:rPr>
              <w:t>≥ 7 MHU</w:t>
            </w:r>
          </w:p>
        </w:tc>
        <w:tc>
          <w:tcPr>
            <w:tcW w:w="1560" w:type="dxa"/>
            <w:vAlign w:val="center"/>
          </w:tcPr>
          <w:p w14:paraId="3F3680DB" w14:textId="2E6DC997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28FA21E2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EF2AA27" w14:textId="21328BD9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166DA6E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C6E78E2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6520624C" w14:textId="58AFE41E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E6C8C">
              <w:rPr>
                <w:rFonts w:ascii="Times New Roman" w:hAnsi="Times New Roman" w:cs="Times New Roman"/>
              </w:rPr>
              <w:t>Szybkość chłodzenia anody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  <w:b/>
              </w:rPr>
              <w:t>≥ 1,5 MHU/min</w:t>
            </w:r>
          </w:p>
        </w:tc>
        <w:tc>
          <w:tcPr>
            <w:tcW w:w="1560" w:type="dxa"/>
            <w:vAlign w:val="center"/>
          </w:tcPr>
          <w:p w14:paraId="2667E28A" w14:textId="31435DEB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7A6A954E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5EED4FC" w14:textId="2B2BD355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4016C658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7A9DB12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1A45F684" w14:textId="0BFF91E8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E6C8C">
              <w:rPr>
                <w:rFonts w:ascii="Times New Roman" w:hAnsi="Times New Roman" w:cs="Times New Roman"/>
              </w:rPr>
              <w:t>Najkrótszy czas pełnego obrotu układu lampa-detektor dla akwizycji standardowych (nie kardiologicznych)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  <w:b/>
              </w:rPr>
              <w:t>≤ 0,35 s</w:t>
            </w:r>
          </w:p>
        </w:tc>
        <w:tc>
          <w:tcPr>
            <w:tcW w:w="1560" w:type="dxa"/>
            <w:vAlign w:val="center"/>
          </w:tcPr>
          <w:p w14:paraId="090EE98B" w14:textId="68D7B6A0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1C2226D5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53868BB" w14:textId="4B573301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714A8999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4C3F3D6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6B637239" w14:textId="77777777" w:rsidR="008C1C05" w:rsidRDefault="008C1C05" w:rsidP="008C1C05">
            <w:pPr>
              <w:spacing w:after="0"/>
              <w:rPr>
                <w:rFonts w:ascii="Times New Roman" w:hAnsi="Times New Roman" w:cs="Times New Roman"/>
              </w:rPr>
            </w:pPr>
            <w:r w:rsidRPr="009E6C8C">
              <w:rPr>
                <w:rFonts w:ascii="Times New Roman" w:hAnsi="Times New Roman" w:cs="Times New Roman"/>
              </w:rPr>
              <w:t>Grubość najcieńszej warstwy (w oferowanej ilości warstw) w skanowaniu sekwencyjnym i spiralnym</w:t>
            </w:r>
          </w:p>
          <w:p w14:paraId="2C6E38BA" w14:textId="2591F4A7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  <w:b/>
              </w:rPr>
              <w:t>≤ 0,63 mm</w:t>
            </w:r>
          </w:p>
        </w:tc>
        <w:tc>
          <w:tcPr>
            <w:tcW w:w="1560" w:type="dxa"/>
            <w:vAlign w:val="center"/>
          </w:tcPr>
          <w:p w14:paraId="1B830533" w14:textId="4CEDD366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0C6B2FE6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7195124" w14:textId="6B4C8002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2650CF3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38DA346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7BBD9575" w14:textId="636358BA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E6C8C">
              <w:rPr>
                <w:rFonts w:ascii="Times New Roman" w:hAnsi="Times New Roman" w:cs="Times New Roman"/>
              </w:rPr>
              <w:t>Maksymalne pole obrazowania FOV w trakcie akwizycji (FOV diagnostyczne)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  <w:b/>
              </w:rPr>
              <w:t>≥ 50 cm</w:t>
            </w:r>
          </w:p>
        </w:tc>
        <w:tc>
          <w:tcPr>
            <w:tcW w:w="1560" w:type="dxa"/>
            <w:vAlign w:val="center"/>
          </w:tcPr>
          <w:p w14:paraId="331BB253" w14:textId="0CFD44F3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4894E7B4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389BE28" w14:textId="70D7B3FA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3535074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B89A92C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1B2BE8BC" w14:textId="0983D26F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E6C8C">
              <w:rPr>
                <w:rFonts w:ascii="Times New Roman" w:hAnsi="Times New Roman" w:cs="Times New Roman"/>
              </w:rPr>
              <w:t xml:space="preserve">Maksymalne pole w rekonstrukcji EFOV (Extended field of </w:t>
            </w:r>
            <w:proofErr w:type="spellStart"/>
            <w:r w:rsidRPr="009E6C8C">
              <w:rPr>
                <w:rFonts w:ascii="Times New Roman" w:hAnsi="Times New Roman" w:cs="Times New Roman"/>
              </w:rPr>
              <w:t>view</w:t>
            </w:r>
            <w:proofErr w:type="spellEnd"/>
            <w:r w:rsidRPr="009E6C8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  <w:b/>
              </w:rPr>
              <w:t>≥ 70 cm</w:t>
            </w:r>
          </w:p>
        </w:tc>
        <w:tc>
          <w:tcPr>
            <w:tcW w:w="1560" w:type="dxa"/>
            <w:vAlign w:val="center"/>
          </w:tcPr>
          <w:p w14:paraId="7E8C2F90" w14:textId="3046ABD2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63099B26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291FA1E" w14:textId="1E20635A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6A7CE1CB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E65C381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310A14FD" w14:textId="4E82BCED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E6C8C">
              <w:rPr>
                <w:rFonts w:ascii="Times New Roman" w:hAnsi="Times New Roman" w:cs="Times New Roman"/>
              </w:rPr>
              <w:t>Matryca rekonstrukcji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  <w:b/>
              </w:rPr>
              <w:t>≥ 512x512</w:t>
            </w:r>
          </w:p>
        </w:tc>
        <w:tc>
          <w:tcPr>
            <w:tcW w:w="1560" w:type="dxa"/>
            <w:vAlign w:val="center"/>
          </w:tcPr>
          <w:p w14:paraId="6AD401AD" w14:textId="36385A7D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62514CE5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3FFE18E" w14:textId="5B902BF7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140417D8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3EF2773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7E5B7F55" w14:textId="77777777" w:rsidR="008C1C05" w:rsidRDefault="008C1C05" w:rsidP="008C1C05">
            <w:pPr>
              <w:spacing w:after="0"/>
              <w:rPr>
                <w:rFonts w:ascii="Times New Roman" w:hAnsi="Times New Roman" w:cs="Times New Roman"/>
              </w:rPr>
            </w:pPr>
            <w:r w:rsidRPr="009E6C8C">
              <w:rPr>
                <w:rFonts w:ascii="Times New Roman" w:hAnsi="Times New Roman" w:cs="Times New Roman"/>
              </w:rPr>
              <w:t>Maksymalna długość skanu przeglądowego (</w:t>
            </w:r>
            <w:proofErr w:type="spellStart"/>
            <w:r w:rsidRPr="009E6C8C">
              <w:rPr>
                <w:rFonts w:ascii="Times New Roman" w:hAnsi="Times New Roman" w:cs="Times New Roman"/>
              </w:rPr>
              <w:t>topogram</w:t>
            </w:r>
            <w:proofErr w:type="spellEnd"/>
            <w:r w:rsidRPr="009E6C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C8C">
              <w:rPr>
                <w:rFonts w:ascii="Times New Roman" w:hAnsi="Times New Roman" w:cs="Times New Roman"/>
              </w:rPr>
              <w:t>scanogram</w:t>
            </w:r>
            <w:proofErr w:type="spellEnd"/>
            <w:r w:rsidRPr="009E6C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C8C">
              <w:rPr>
                <w:rFonts w:ascii="Times New Roman" w:hAnsi="Times New Roman" w:cs="Times New Roman"/>
              </w:rPr>
              <w:t>scout</w:t>
            </w:r>
            <w:proofErr w:type="spellEnd"/>
            <w:r w:rsidRPr="009E6C8C">
              <w:rPr>
                <w:rFonts w:ascii="Times New Roman" w:hAnsi="Times New Roman" w:cs="Times New Roman"/>
              </w:rPr>
              <w:t xml:space="preserve"> lub równoważne)</w:t>
            </w:r>
          </w:p>
          <w:p w14:paraId="18C9468A" w14:textId="731B6E18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  <w:b/>
              </w:rPr>
              <w:t>≥ 200 cm</w:t>
            </w:r>
          </w:p>
        </w:tc>
        <w:tc>
          <w:tcPr>
            <w:tcW w:w="1560" w:type="dxa"/>
            <w:vAlign w:val="center"/>
          </w:tcPr>
          <w:p w14:paraId="7CA3D4DA" w14:textId="793E69D5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34299C4B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B5DAEB5" w14:textId="44F38C61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782D3D33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C1374E2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05AD9751" w14:textId="77777777" w:rsidR="008C1C05" w:rsidRDefault="008C1C05" w:rsidP="008C1C05">
            <w:pPr>
              <w:spacing w:after="0"/>
              <w:rPr>
                <w:rFonts w:ascii="Times New Roman" w:hAnsi="Times New Roman" w:cs="Times New Roman"/>
              </w:rPr>
            </w:pPr>
            <w:r w:rsidRPr="009E6C8C">
              <w:rPr>
                <w:rFonts w:ascii="Times New Roman" w:hAnsi="Times New Roman" w:cs="Times New Roman"/>
              </w:rPr>
              <w:t>Maksymalna szerokość skanu przeglądowego</w:t>
            </w:r>
          </w:p>
          <w:p w14:paraId="117803E1" w14:textId="5C536098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  <w:b/>
              </w:rPr>
              <w:t>≥ 50 cm</w:t>
            </w:r>
          </w:p>
        </w:tc>
        <w:tc>
          <w:tcPr>
            <w:tcW w:w="1560" w:type="dxa"/>
            <w:vAlign w:val="center"/>
          </w:tcPr>
          <w:p w14:paraId="4439994B" w14:textId="3F9D0FBE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70BAA1D1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2DECB62" w14:textId="4E5D436C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46F3A464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A91BC1E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43EACEFF" w14:textId="53E75147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E6C8C">
              <w:rPr>
                <w:rFonts w:ascii="Times New Roman" w:hAnsi="Times New Roman" w:cs="Times New Roman"/>
              </w:rPr>
              <w:t xml:space="preserve">Szybkości rekonstrukcji w obszarze tułowia z zachowaniem pełnej jakości obrazowania, matryca 512x512 [ilość obrazów na sekundę; </w:t>
            </w:r>
            <w:proofErr w:type="spellStart"/>
            <w:r w:rsidRPr="009E6C8C">
              <w:rPr>
                <w:rFonts w:ascii="Times New Roman" w:hAnsi="Times New Roman" w:cs="Times New Roman"/>
              </w:rPr>
              <w:t>ips</w:t>
            </w:r>
            <w:proofErr w:type="spellEnd"/>
            <w:r w:rsidRPr="009E6C8C">
              <w:rPr>
                <w:rFonts w:ascii="Times New Roman" w:hAnsi="Times New Roman" w:cs="Times New Roman"/>
              </w:rPr>
              <w:t xml:space="preserve"> = image per </w:t>
            </w:r>
            <w:proofErr w:type="spellStart"/>
            <w:r w:rsidRPr="009E6C8C">
              <w:rPr>
                <w:rFonts w:ascii="Times New Roman" w:hAnsi="Times New Roman" w:cs="Times New Roman"/>
              </w:rPr>
              <w:t>second</w:t>
            </w:r>
            <w:proofErr w:type="spellEnd"/>
            <w:r w:rsidRPr="009E6C8C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C8C">
              <w:rPr>
                <w:rFonts w:ascii="Times New Roman" w:hAnsi="Times New Roman" w:cs="Times New Roman"/>
                <w:b/>
              </w:rPr>
              <w:t xml:space="preserve">≥ 40 </w:t>
            </w:r>
            <w:proofErr w:type="spellStart"/>
            <w:r w:rsidRPr="009E6C8C">
              <w:rPr>
                <w:rFonts w:ascii="Times New Roman" w:hAnsi="Times New Roman" w:cs="Times New Roman"/>
                <w:b/>
              </w:rPr>
              <w:t>ips</w:t>
            </w:r>
            <w:proofErr w:type="spellEnd"/>
          </w:p>
        </w:tc>
        <w:tc>
          <w:tcPr>
            <w:tcW w:w="1560" w:type="dxa"/>
            <w:vAlign w:val="center"/>
          </w:tcPr>
          <w:p w14:paraId="2213EF78" w14:textId="30C3B7D9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71D69878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0A4378B" w14:textId="6AF06C6F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5988E773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BF66274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</w:tcPr>
          <w:p w14:paraId="062BB29E" w14:textId="513DF7A6" w:rsidR="008C1C05" w:rsidRPr="009E6C8C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E6C8C">
              <w:rPr>
                <w:rFonts w:ascii="Times New Roman" w:hAnsi="Times New Roman" w:cs="Times New Roman"/>
              </w:rPr>
              <w:t>Jednoczesność skanowania i procesów rekonstrukcji.</w:t>
            </w:r>
          </w:p>
        </w:tc>
        <w:tc>
          <w:tcPr>
            <w:tcW w:w="1560" w:type="dxa"/>
            <w:vAlign w:val="center"/>
          </w:tcPr>
          <w:p w14:paraId="55700CE5" w14:textId="335AD029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46ABA18E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161A1CC" w14:textId="247CD53D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37638517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4240688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51B94DB" w14:textId="10BF5CCF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2D4A">
              <w:rPr>
                <w:rFonts w:ascii="Times New Roman" w:hAnsi="Times New Roman" w:cs="Times New Roman"/>
                <w:color w:val="000000"/>
              </w:rPr>
              <w:t xml:space="preserve">Skanowanie z modulacją prądu lampy </w:t>
            </w:r>
            <w:proofErr w:type="spellStart"/>
            <w:r w:rsidRPr="000B2D4A">
              <w:rPr>
                <w:rFonts w:ascii="Times New Roman" w:hAnsi="Times New Roman" w:cs="Times New Roman"/>
                <w:color w:val="000000"/>
              </w:rPr>
              <w:t>rtg</w:t>
            </w:r>
            <w:proofErr w:type="spellEnd"/>
            <w:r w:rsidRPr="000B2D4A">
              <w:rPr>
                <w:rFonts w:ascii="Times New Roman" w:hAnsi="Times New Roman" w:cs="Times New Roman"/>
                <w:color w:val="000000"/>
              </w:rPr>
              <w:t xml:space="preserve"> (dawki) na podstawie rzeczywistych pomiarów dokonywanych podczas skanowania lub na podstawie rzeczywistych pomiarów dokonanych podczas wykonywania skanu przeglądowego. (licencja/oprogramowanie Producenta)</w:t>
            </w:r>
          </w:p>
        </w:tc>
        <w:tc>
          <w:tcPr>
            <w:tcW w:w="1560" w:type="dxa"/>
            <w:vAlign w:val="center"/>
          </w:tcPr>
          <w:p w14:paraId="2E2A5C5E" w14:textId="31BD1ADF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2A264E94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AA141BC" w14:textId="640D42D3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62C868B9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FF59B3E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55D93D6" w14:textId="64BA765E" w:rsidR="008C1C05" w:rsidRPr="00AA269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A2694">
              <w:rPr>
                <w:rFonts w:ascii="Times New Roman" w:hAnsi="Times New Roman" w:cs="Times New Roman"/>
                <w:color w:val="000000"/>
              </w:rPr>
              <w:t xml:space="preserve">Oprogramowanie iteracyjnej redukcji artefaktów powodowanych przez elementy metalowe, z gotową listą protokołów do wyboru przez operatora z typami implantów. (minimum: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dental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fillings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neuro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coil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thoracic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coil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, hip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implants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extremity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implants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spine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implants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shoulder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implants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pacemaker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C519C34" w14:textId="4069CD02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A2694">
              <w:rPr>
                <w:rFonts w:ascii="Times New Roman" w:hAnsi="Times New Roman" w:cs="Times New Roman"/>
                <w:color w:val="000000"/>
              </w:rPr>
              <w:t>(licencja/oprogramowanie Producenta, lista d</w:t>
            </w:r>
            <w:r>
              <w:rPr>
                <w:rFonts w:ascii="Times New Roman" w:hAnsi="Times New Roman" w:cs="Times New Roman"/>
                <w:color w:val="000000"/>
              </w:rPr>
              <w:t>ostępnych protokołów do wyboru)</w:t>
            </w:r>
          </w:p>
        </w:tc>
        <w:tc>
          <w:tcPr>
            <w:tcW w:w="1560" w:type="dxa"/>
            <w:vAlign w:val="center"/>
          </w:tcPr>
          <w:p w14:paraId="31E221FA" w14:textId="35EAA410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B3E384E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D02E2ED" w14:textId="6BC9854C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29155F54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D667E1D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000F082" w14:textId="0F83E369" w:rsidR="008C1C05" w:rsidRPr="0078673E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A2694">
              <w:rPr>
                <w:rFonts w:ascii="Times New Roman" w:hAnsi="Times New Roman" w:cs="Times New Roman"/>
                <w:color w:val="000000"/>
              </w:rPr>
              <w:t>Iteracyjny algorytm do redukcji dawki dający możliwość redukcji min. 50% od dawki standardowej systemu bez tego narzędzia. (licencja/oprogramowanie Producenta)</w:t>
            </w:r>
          </w:p>
        </w:tc>
        <w:tc>
          <w:tcPr>
            <w:tcW w:w="1560" w:type="dxa"/>
            <w:vAlign w:val="center"/>
          </w:tcPr>
          <w:p w14:paraId="5F177A20" w14:textId="2CCAF7E0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22B501BB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5103030" w14:textId="081006A3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4BAC8A1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F6E17F0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7DA4BCC" w14:textId="72A06B82" w:rsidR="008C1C05" w:rsidRPr="00AA269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A2694">
              <w:rPr>
                <w:rFonts w:ascii="Times New Roman" w:hAnsi="Times New Roman" w:cs="Times New Roman"/>
                <w:color w:val="000000"/>
              </w:rPr>
              <w:t xml:space="preserve">Możliwość ustawienia protokołów przy skanowaniu TK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niskodawkowym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 – wymaganym do korekcji pochłaniania AC – z możliwością uzyskania nawet ponad 90% redukcji dawki standardowe - dla protokołów dorosłych ¨ Dla skanów WB dla badania PET/CT możliwość pozyskania wartości CTDI-vol (objętościowy wskaźnik dawki tomograficznej dla fantomu = 32 cm) na poziomie max 0,15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mGy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 xml:space="preserve"> przy 80 </w:t>
            </w:r>
            <w:proofErr w:type="spellStart"/>
            <w:r w:rsidRPr="00AA2694">
              <w:rPr>
                <w:rFonts w:ascii="Times New Roman" w:hAnsi="Times New Roman" w:cs="Times New Roman"/>
                <w:color w:val="000000"/>
              </w:rPr>
              <w:t>kV</w:t>
            </w:r>
            <w:proofErr w:type="spellEnd"/>
            <w:r w:rsidRPr="00AA2694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D991434" w14:textId="08EBC4A5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A2694">
              <w:rPr>
                <w:rFonts w:ascii="Times New Roman" w:hAnsi="Times New Roman" w:cs="Times New Roman"/>
                <w:color w:val="000000"/>
              </w:rPr>
              <w:t xml:space="preserve">Dla skanów mózgu w badaniu PET/CT możliwość pozyskania wartości CTDI-vol (objętościowy </w:t>
            </w:r>
            <w:r w:rsidRPr="00AA2694">
              <w:rPr>
                <w:rFonts w:ascii="Times New Roman" w:hAnsi="Times New Roman" w:cs="Times New Roman"/>
                <w:color w:val="000000"/>
              </w:rPr>
              <w:lastRenderedPageBreak/>
              <w:t>wskaźnik dawki tomograficznej dla fantomu = 16 cm) n</w:t>
            </w:r>
            <w:r>
              <w:rPr>
                <w:rFonts w:ascii="Times New Roman" w:hAnsi="Times New Roman" w:cs="Times New Roman"/>
                <w:color w:val="000000"/>
              </w:rPr>
              <w:t xml:space="preserve">a poziomie 0,20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mGy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przy 80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44A8C357" w14:textId="72B6AD56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</w:tc>
        <w:tc>
          <w:tcPr>
            <w:tcW w:w="3269" w:type="dxa"/>
            <w:vAlign w:val="center"/>
          </w:tcPr>
          <w:p w14:paraId="195AC024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989EF42" w14:textId="69DB3E5B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3F454F31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89287A7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86AF925" w14:textId="37ECC8FF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A2694">
              <w:rPr>
                <w:rFonts w:ascii="Times New Roman" w:hAnsi="Times New Roman" w:cs="Times New Roman"/>
                <w:color w:val="000000"/>
              </w:rPr>
              <w:t>Synchronizacja startu badania spiralnego na podstawie analizy napływu środka cieniującego w zadanej warstwie bez wykonywania wstrzyknięć testowych</w:t>
            </w:r>
          </w:p>
        </w:tc>
        <w:tc>
          <w:tcPr>
            <w:tcW w:w="1560" w:type="dxa"/>
            <w:vAlign w:val="center"/>
          </w:tcPr>
          <w:p w14:paraId="2AE4D470" w14:textId="4A6AF82B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7B697EB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2EED3EF" w14:textId="2D0B9CFC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48A06EC1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539BF3D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36A53D1" w14:textId="0454950B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A2694">
              <w:rPr>
                <w:rFonts w:ascii="Times New Roman" w:hAnsi="Times New Roman" w:cs="Times New Roman"/>
                <w:color w:val="000000"/>
              </w:rPr>
              <w:t>Rozwiązanie elektroniczne lub elektro-mechaniczne odpowiedzialne za eliminację niskich nieużytecznych wartości energii dla zmniejszenia dawki. System ponadto poprawia kontrast między tkankami miękkimi a otaczającym powietrzem, w takich obszarach obrazowania, jak płuca, okrężnica i zatoki.</w:t>
            </w:r>
          </w:p>
        </w:tc>
        <w:tc>
          <w:tcPr>
            <w:tcW w:w="1560" w:type="dxa"/>
            <w:vAlign w:val="center"/>
          </w:tcPr>
          <w:p w14:paraId="211E256F" w14:textId="7D34F49A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C8EE91F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191FCEA" w14:textId="31924A70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620AE2C1" w14:textId="77777777" w:rsidTr="00FA77D1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DC5C278" w14:textId="77777777" w:rsidR="008C1C05" w:rsidRPr="000353C4" w:rsidRDefault="008C1C05" w:rsidP="008C1C0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shd w:val="clear" w:color="auto" w:fill="auto"/>
            <w:vAlign w:val="center"/>
          </w:tcPr>
          <w:p w14:paraId="468B1E01" w14:textId="3514C3BF" w:rsidR="008C1C05" w:rsidRPr="00EA4951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951">
              <w:rPr>
                <w:rFonts w:ascii="Times New Roman" w:hAnsi="Times New Roman" w:cs="Times New Roman"/>
                <w:b/>
              </w:rPr>
              <w:t>Konsola operatorska skanera PET/CT</w:t>
            </w:r>
          </w:p>
        </w:tc>
      </w:tr>
      <w:tr w:rsidR="008C1C05" w:rsidRPr="000353C4" w14:paraId="05373C39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6A9F083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07CA8BB" w14:textId="5DA02B08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Dwa monitory LCD (min. 19”)  spełniające wymagania dla stanowisk przeglądowych wg Rozporządzenie Ministra Zdrowia z dnia 12 grudnia 2022 r. w sprawie w sprawie testów eksploatacyjnych urządzeń radiologicznych i urządzeń pomocniczych (Dz. U. poz. 2759 ).</w:t>
            </w:r>
          </w:p>
        </w:tc>
        <w:tc>
          <w:tcPr>
            <w:tcW w:w="1560" w:type="dxa"/>
            <w:vAlign w:val="center"/>
          </w:tcPr>
          <w:p w14:paraId="5961F14A" w14:textId="1AB1356B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D72782E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B793D73" w14:textId="543E6AD3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1E9680B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30E0936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C84206E" w14:textId="4B41FEE2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4951">
              <w:rPr>
                <w:rFonts w:ascii="Times New Roman" w:hAnsi="Times New Roman" w:cs="Times New Roman"/>
                <w:color w:val="000000"/>
              </w:rPr>
              <w:t>Wielozadaniowość – skanowanie i rekonstruowanie, skanowanie i archiwizowanie, skanowanie i transfer obrazów</w:t>
            </w:r>
          </w:p>
        </w:tc>
        <w:tc>
          <w:tcPr>
            <w:tcW w:w="1560" w:type="dxa"/>
            <w:vAlign w:val="center"/>
          </w:tcPr>
          <w:p w14:paraId="33DCDE33" w14:textId="1B5B0165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B4513E2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4189845" w14:textId="79950D12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220E7805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ED574D5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DEFBC43" w14:textId="57C66E93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4951">
              <w:rPr>
                <w:rFonts w:ascii="Times New Roman" w:hAnsi="Times New Roman" w:cs="Times New Roman"/>
                <w:color w:val="000000"/>
              </w:rPr>
              <w:t>Możliwość zaprogramowania co najmniej 3 współbieżnych zadań rekonstrukcyjnych dla protokołu skanowania TK</w:t>
            </w:r>
          </w:p>
        </w:tc>
        <w:tc>
          <w:tcPr>
            <w:tcW w:w="1560" w:type="dxa"/>
            <w:vAlign w:val="center"/>
          </w:tcPr>
          <w:p w14:paraId="6116289C" w14:textId="0D514A06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A20D372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85C9009" w14:textId="6623655F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C05" w:rsidRPr="000353C4" w14:paraId="0F517F20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01F2DFC" w14:textId="77777777" w:rsidR="008C1C05" w:rsidRPr="000353C4" w:rsidRDefault="008C1C05" w:rsidP="008C1C0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733F20A" w14:textId="47764FC4" w:rsidR="008C1C05" w:rsidRPr="00965604" w:rsidRDefault="008C1C05" w:rsidP="008C1C0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4951">
              <w:rPr>
                <w:rFonts w:ascii="Times New Roman" w:hAnsi="Times New Roman" w:cs="Times New Roman"/>
                <w:color w:val="000000"/>
              </w:rPr>
              <w:t>Tworzenie nowych protokołów badań przez Użytkownika</w:t>
            </w:r>
          </w:p>
        </w:tc>
        <w:tc>
          <w:tcPr>
            <w:tcW w:w="1560" w:type="dxa"/>
            <w:vAlign w:val="center"/>
          </w:tcPr>
          <w:p w14:paraId="4ED94D23" w14:textId="029182DA" w:rsidR="008C1C05" w:rsidRDefault="008C1C05" w:rsidP="008C1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17119F3" w14:textId="77777777" w:rsidR="008C1C05" w:rsidRPr="000353C4" w:rsidRDefault="008C1C05" w:rsidP="008C1C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AFD37C5" w14:textId="76F4D4D6" w:rsidR="008C1C05" w:rsidRDefault="008C1C05" w:rsidP="008C1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36ECCE04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16E697D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3D18F18" w14:textId="670ACB7F" w:rsidR="00FE6E75" w:rsidRPr="00EA4951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Możliwość archiwizacji badań/obrazów na CD-R lub DVD  w formacie DICOM 3.0 z automatycznym wgrywaniem przeglądarki (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Browser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>) umożliwiającej odtwarzanie obrazów na PC</w:t>
            </w:r>
          </w:p>
        </w:tc>
        <w:tc>
          <w:tcPr>
            <w:tcW w:w="1560" w:type="dxa"/>
            <w:vAlign w:val="center"/>
          </w:tcPr>
          <w:p w14:paraId="196B456B" w14:textId="5145B043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352D399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B8C7837" w14:textId="29960217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528F7590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98F5200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A499FA5" w14:textId="18683ECB" w:rsidR="00FE6E75" w:rsidRPr="00EA4951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Dwukierunkowy interkom do komunikacji głosowej z pacjentem</w:t>
            </w:r>
          </w:p>
        </w:tc>
        <w:tc>
          <w:tcPr>
            <w:tcW w:w="1560" w:type="dxa"/>
            <w:vAlign w:val="center"/>
          </w:tcPr>
          <w:p w14:paraId="157E4806" w14:textId="7F06D65E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89DC1CF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720DB72" w14:textId="7ADAF901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25C566D6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0C91AAC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E113CA8" w14:textId="4A6CF8D0" w:rsidR="00FE6E75" w:rsidRPr="00EA4951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System automatycznego instruktażu głosowego dla pacjenta w języku polskim</w:t>
            </w:r>
          </w:p>
        </w:tc>
        <w:tc>
          <w:tcPr>
            <w:tcW w:w="1560" w:type="dxa"/>
            <w:vAlign w:val="center"/>
          </w:tcPr>
          <w:p w14:paraId="2650E2C2" w14:textId="6C3CBA73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817EB58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8AC51A8" w14:textId="3D8F9499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0900EE27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106DA30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EA1628F" w14:textId="45966FF1" w:rsidR="00FE6E75" w:rsidRPr="003A405F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Rekonstrukcje 3D SSD (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Shaded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Surface Display)</w:t>
            </w:r>
          </w:p>
          <w:p w14:paraId="504EE456" w14:textId="77777777" w:rsidR="00FE6E75" w:rsidRPr="003A405F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 xml:space="preserve">Rekonstrukcje wielopłaszczyznowe MPR (Multi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Planar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Reformation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>) i po dowolnej prostej/prostych i krzywej.</w:t>
            </w:r>
          </w:p>
          <w:p w14:paraId="7D9A8FA7" w14:textId="77777777" w:rsidR="00FE6E75" w:rsidRPr="003A405F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Edycja wolumenów w przeglądarce MPR.</w:t>
            </w:r>
          </w:p>
          <w:p w14:paraId="2D8606C2" w14:textId="77777777" w:rsidR="00FE6E75" w:rsidRPr="003A405F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 xml:space="preserve">Prezentacje rekonstrukcji 3D w technice VRT (Volume Rendering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Technique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>) z przełączaniem VRT&lt;&gt;MPR/MIP/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MIPthin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MinMP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9BE1B85" w14:textId="77777777" w:rsidR="00FE6E75" w:rsidRPr="003A405F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Pomiary analityczne (pomiar poziomu gęstości, profile gęstości, histogramy, analiza skanu dynamicznego PET oraz TK)</w:t>
            </w:r>
          </w:p>
          <w:p w14:paraId="5D326507" w14:textId="77777777" w:rsidR="00FE6E75" w:rsidRPr="003A405F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lastRenderedPageBreak/>
              <w:t>Pomiary geometryczne (długości / kątów / powierzchni / objętości). Pomiar długości (odległości) w planie XY z dokładnością co najmniej 1 mm.</w:t>
            </w:r>
          </w:p>
          <w:p w14:paraId="1EED30FE" w14:textId="4488B109" w:rsidR="00FE6E75" w:rsidRPr="00EA4951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Prezentacja typu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Cine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CT</w:t>
            </w:r>
          </w:p>
        </w:tc>
        <w:tc>
          <w:tcPr>
            <w:tcW w:w="1560" w:type="dxa"/>
            <w:vAlign w:val="center"/>
          </w:tcPr>
          <w:p w14:paraId="0C7D33AD" w14:textId="05AF0D98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TAK, opisać</w:t>
            </w:r>
          </w:p>
        </w:tc>
        <w:tc>
          <w:tcPr>
            <w:tcW w:w="3269" w:type="dxa"/>
            <w:vAlign w:val="center"/>
          </w:tcPr>
          <w:p w14:paraId="3A343E8D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15084BD" w14:textId="48448786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762A1479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486A5B3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4E705E0" w14:textId="77777777" w:rsidR="00FE6E75" w:rsidRPr="00EA4951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4951">
              <w:rPr>
                <w:rFonts w:ascii="Times New Roman" w:hAnsi="Times New Roman" w:cs="Times New Roman"/>
                <w:color w:val="000000"/>
              </w:rPr>
              <w:t xml:space="preserve">Metoda bramkowania oddechowego Digital Respiratory </w:t>
            </w:r>
            <w:proofErr w:type="spellStart"/>
            <w:r w:rsidRPr="00EA4951">
              <w:rPr>
                <w:rFonts w:ascii="Times New Roman" w:hAnsi="Times New Roman" w:cs="Times New Roman"/>
                <w:color w:val="000000"/>
              </w:rPr>
              <w:t>Gating</w:t>
            </w:r>
            <w:proofErr w:type="spellEnd"/>
            <w:r w:rsidRPr="00EA4951">
              <w:rPr>
                <w:rFonts w:ascii="Times New Roman" w:hAnsi="Times New Roman" w:cs="Times New Roman"/>
                <w:color w:val="000000"/>
              </w:rPr>
              <w:t>, który pozwala na realizowanie akwizycji synchronizowanej oddechowo w technice retrospektywnej i prospektywnej bez wykorzystania urządzenia zewnętrznego (</w:t>
            </w:r>
            <w:proofErr w:type="spellStart"/>
            <w:r w:rsidRPr="00EA4951">
              <w:rPr>
                <w:rFonts w:ascii="Times New Roman" w:hAnsi="Times New Roman" w:cs="Times New Roman"/>
                <w:color w:val="000000"/>
              </w:rPr>
              <w:t>deviceless</w:t>
            </w:r>
            <w:proofErr w:type="spellEnd"/>
            <w:r w:rsidRPr="00EA4951">
              <w:rPr>
                <w:rFonts w:ascii="Times New Roman" w:hAnsi="Times New Roman" w:cs="Times New Roman"/>
                <w:color w:val="000000"/>
              </w:rPr>
              <w:t>). Podać nazwę techniki i opisać działanie.</w:t>
            </w:r>
          </w:p>
          <w:p w14:paraId="0DD94476" w14:textId="77777777" w:rsidR="00FE6E75" w:rsidRPr="00EA4951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4951">
              <w:rPr>
                <w:rFonts w:ascii="Times New Roman" w:hAnsi="Times New Roman" w:cs="Times New Roman"/>
                <w:color w:val="000000"/>
              </w:rPr>
              <w:t>Zapewniona funkcjonalność:</w:t>
            </w:r>
          </w:p>
          <w:p w14:paraId="63240D6D" w14:textId="77777777" w:rsidR="00FE6E75" w:rsidRPr="00EA4951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4951">
              <w:rPr>
                <w:rFonts w:ascii="Times New Roman" w:hAnsi="Times New Roman" w:cs="Times New Roman"/>
                <w:color w:val="000000"/>
              </w:rPr>
              <w:t>- bramkowania oddechowego prospektywnego i retrospektywnego;</w:t>
            </w:r>
          </w:p>
          <w:p w14:paraId="7923EF07" w14:textId="77777777" w:rsidR="00FE6E75" w:rsidRPr="00EA4951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4951">
              <w:rPr>
                <w:rFonts w:ascii="Times New Roman" w:hAnsi="Times New Roman" w:cs="Times New Roman"/>
                <w:color w:val="000000"/>
              </w:rPr>
              <w:t>- oceny indeksów SUV także na obrazach bramkowanych oddechowo;</w:t>
            </w:r>
          </w:p>
          <w:p w14:paraId="6303DE55" w14:textId="77777777" w:rsidR="00FE6E75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4951">
              <w:rPr>
                <w:rFonts w:ascii="Times New Roman" w:hAnsi="Times New Roman" w:cs="Times New Roman"/>
                <w:color w:val="000000"/>
              </w:rPr>
              <w:t>Protokoły bramkowania oddechowego PET -zintegrowane w ciągu skanu akwizycyjnego, nie wymagając ponownego skanowania obszaru czy repozycjonowania pacjenta. Algorytm przepływu optycznego 3D, który umożliwia uwzględnienie 100% danych liczbowych do rekonstrukcji obrazu.</w:t>
            </w:r>
          </w:p>
          <w:p w14:paraId="7C8F8AE8" w14:textId="7CD6981D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Podać nazwę własną oprogramowania/licencji</w:t>
            </w:r>
          </w:p>
        </w:tc>
        <w:tc>
          <w:tcPr>
            <w:tcW w:w="1560" w:type="dxa"/>
            <w:vAlign w:val="center"/>
          </w:tcPr>
          <w:p w14:paraId="29D0E00B" w14:textId="16F6C63E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4D2FBFEA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BE25D82" w14:textId="1AF40A2B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1C1742D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7605467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592C35E" w14:textId="0E7B7AB2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Wykonanie badania bramkowanego oddechowo dla wyznaczonego obszaru bez wydłużania czasu skanowania w celu zebrania 100% danych, tj. w tym samym czasie akwizycyjnym co obszary ciała niebramkowane</w:t>
            </w:r>
          </w:p>
        </w:tc>
        <w:tc>
          <w:tcPr>
            <w:tcW w:w="1560" w:type="dxa"/>
            <w:vAlign w:val="center"/>
          </w:tcPr>
          <w:p w14:paraId="7A5DBFB7" w14:textId="321EC459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990D620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4737333" w14:textId="1F36D6AF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24949135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8BD3A12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E698308" w14:textId="6B836EF5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Możliwość przeglądania na konsoli operatora wszystkich typów badań wykonywanych na aparacie.</w:t>
            </w:r>
          </w:p>
        </w:tc>
        <w:tc>
          <w:tcPr>
            <w:tcW w:w="1560" w:type="dxa"/>
            <w:vAlign w:val="center"/>
          </w:tcPr>
          <w:p w14:paraId="20D4901E" w14:textId="5B14D8BA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5A989F2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41DC17D" w14:textId="15D6C0DB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23B32C20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2936BF4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CA15758" w14:textId="29EF33F6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Możliwość akwizycji PET w trybie ciągłym tzw. „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continous-bed-motion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” z różną prędkością skanowania dla przynajmniej  4 regionów skanowania i z możliwością zaplanowania podłużnego obszaru skanowania PET i CT z dokładnością do 0,5 cm bez nadmiernego skanowania wynikającą z długości łóżka akwizycyjnego, oraz z możliwością zaprogramowania dla poszczególnych regionów (wymagane min.4) różnych matryc rekonstrukcji - w tym dla regionu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głowa-szyja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min. macierz rekonstrukcji 400x400, dla obszaru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thorax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- bramkowania oddechowego. Zaimplementowane na konsoli gotowe do wyboru i dopasowania w cm dla indywidualnego pacjenta protokoły skanowania,  w tym minimum: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Lung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Liver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Lymphoma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/Melanoma,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Head&amp;Neck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Colorectal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Prostate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74A08D6D" w14:textId="49CB4916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E5E9338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D42B8AB" w14:textId="6AB15DC2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2BCCDB45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BB07D5A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CC5A23D" w14:textId="4A363AFB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 xml:space="preserve">Możliwość pozyskiwania anatomicznych punktów orientacyjnych na podstawie obrazów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topogramu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CT, które służą do automatycznego określenia np. strefy, która ma zostać skorygowana pod kątem ruchu oddechowego dla każdego pacjenta. Rozwiązanie umożliwia także automatyczne rozpoznanie serca i aorty celem wyznaczenia wejściowej funkcji tętniczej do badań z wyznaczeniem szybkości metabolizmu i dystrybucji objętościowej w badania parametrycznych PET.</w:t>
            </w:r>
          </w:p>
        </w:tc>
        <w:tc>
          <w:tcPr>
            <w:tcW w:w="1560" w:type="dxa"/>
            <w:vAlign w:val="center"/>
          </w:tcPr>
          <w:p w14:paraId="34EDCF02" w14:textId="16BFB1F4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22B5931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40981FE" w14:textId="3166D144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3E119408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D04B26A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83D903B" w14:textId="05430498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 xml:space="preserve">System automatycznej kontroli jakości aparatu PET wykorzystujący wewnętrzne właściwości radioaktywne detektorów LSO, zapewniający badania stabilności detektorów i oceny obrazu sumacyjnego na podstawie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sinogramów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w sposób zautomatyzowany bez użycia źródła zewnętrznego oraz na wypadek niepowodzenia systemu automatycznego kontroli jakości, przeprowadzenie ww. kontroli jakości z użyciem źródła np. Ge-68</w:t>
            </w:r>
          </w:p>
        </w:tc>
        <w:tc>
          <w:tcPr>
            <w:tcW w:w="1560" w:type="dxa"/>
            <w:vAlign w:val="center"/>
          </w:tcPr>
          <w:p w14:paraId="1CD30DDD" w14:textId="531A92C4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67C7965F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EE0B877" w14:textId="5076E5DC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6201D36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EEF0770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C642A12" w14:textId="078ABD3B" w:rsidR="00FE6E75" w:rsidRPr="003A405F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Oprogramowanie do wsparcia oceny efektywności terapii – poprzez zautomatyzowane pozyskiwanie obrazów z pojedynczego skanu z parametrami:</w:t>
            </w:r>
          </w:p>
          <w:p w14:paraId="69AED7E4" w14:textId="77777777" w:rsidR="00FE6E75" w:rsidRPr="003A405F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· standardowymi wartościami SUV,</w:t>
            </w:r>
          </w:p>
          <w:p w14:paraId="739D407C" w14:textId="77777777" w:rsidR="00FE6E75" w:rsidRPr="003A405F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 xml:space="preserve">· szybkością metabolizmu glukozy (tzw.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Metabolic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Rate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(Ki) wyrażonej w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mgFDG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/min/100ml,</w:t>
            </w:r>
          </w:p>
          <w:p w14:paraId="72BFBC25" w14:textId="77777777" w:rsidR="00FE6E75" w:rsidRPr="003A405F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 xml:space="preserve">· dystrybucją znacznika w % wg modelu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Patlaka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(% DV = Distribution Volume).</w:t>
            </w:r>
          </w:p>
          <w:p w14:paraId="40A1D53F" w14:textId="77777777" w:rsidR="00FE6E75" w:rsidRPr="003A405F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Oprogramowanie ma wykorzystywać bezpośrednią rekonstrukcję z danych surowych dla redukcji szumu i szybszego przepływu pracy.</w:t>
            </w:r>
          </w:p>
          <w:p w14:paraId="12FD3420" w14:textId="7E8C3F1E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(licen</w:t>
            </w:r>
            <w:r>
              <w:rPr>
                <w:rFonts w:ascii="Times New Roman" w:hAnsi="Times New Roman" w:cs="Times New Roman"/>
                <w:color w:val="000000"/>
              </w:rPr>
              <w:t>cja/oprogramowanie Producenta).</w:t>
            </w:r>
          </w:p>
        </w:tc>
        <w:tc>
          <w:tcPr>
            <w:tcW w:w="1560" w:type="dxa"/>
            <w:vAlign w:val="center"/>
          </w:tcPr>
          <w:p w14:paraId="16C55A56" w14:textId="3D7D3ABA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C275D40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D312914" w14:textId="7C5CFFAF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4A7F980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B173ED3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45D217E4" w14:textId="3553ECB4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 xml:space="preserve">System bramkowania oddechowego Respiratory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Gating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27EB6DC1" w14:textId="0842BD07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DDE5C7C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68EAC95" w14:textId="16C9E9D1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53BC67D5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2350A1C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7D1A6E4" w14:textId="1E7D099E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 xml:space="preserve">Interfejs w </w:t>
            </w:r>
            <w:proofErr w:type="spellStart"/>
            <w:r w:rsidRPr="003A405F">
              <w:rPr>
                <w:rFonts w:ascii="Times New Roman" w:hAnsi="Times New Roman" w:cs="Times New Roman"/>
                <w:color w:val="000000"/>
              </w:rPr>
              <w:t>gantry</w:t>
            </w:r>
            <w:proofErr w:type="spellEnd"/>
            <w:r w:rsidRPr="003A405F">
              <w:rPr>
                <w:rFonts w:ascii="Times New Roman" w:hAnsi="Times New Roman" w:cs="Times New Roman"/>
                <w:color w:val="000000"/>
              </w:rPr>
              <w:t xml:space="preserve"> z gniazdem we/wy umożliwiający podpięcie dodatkowego systemu bramkowania oddechowego.</w:t>
            </w:r>
          </w:p>
        </w:tc>
        <w:tc>
          <w:tcPr>
            <w:tcW w:w="1560" w:type="dxa"/>
            <w:vAlign w:val="center"/>
          </w:tcPr>
          <w:p w14:paraId="70FC670C" w14:textId="0684D080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E0A189E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45F368D" w14:textId="5B1BB989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4B52817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AA9D554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069E13D" w14:textId="60130535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405F">
              <w:rPr>
                <w:rFonts w:ascii="Times New Roman" w:hAnsi="Times New Roman" w:cs="Times New Roman"/>
                <w:color w:val="000000"/>
              </w:rPr>
              <w:t>Aparat umożliwiający zdalną diagnostykę serwisową poprzez łącze szerokopasmowe i sieć komputerową Zamawiającego.</w:t>
            </w:r>
          </w:p>
        </w:tc>
        <w:tc>
          <w:tcPr>
            <w:tcW w:w="1560" w:type="dxa"/>
            <w:vAlign w:val="center"/>
          </w:tcPr>
          <w:p w14:paraId="58F2C663" w14:textId="09E83CFE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4B1AD03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F473F41" w14:textId="51A9A8F7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26CE9FE0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73EB9A8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7C6537AC" w14:textId="55DCDB42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7603">
              <w:rPr>
                <w:rFonts w:ascii="Times New Roman" w:hAnsi="Times New Roman" w:cs="Times New Roman"/>
                <w:color w:val="000000"/>
              </w:rPr>
              <w:t xml:space="preserve">Dynamiczne obrazowanie PET zapewniające obsługę akwizycji w trybie list </w:t>
            </w:r>
            <w:proofErr w:type="spellStart"/>
            <w:r w:rsidRPr="00FC7603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FC7603">
              <w:rPr>
                <w:rFonts w:ascii="Times New Roman" w:hAnsi="Times New Roman" w:cs="Times New Roman"/>
                <w:color w:val="000000"/>
              </w:rPr>
              <w:t>, rekonstrukcję oraz wykonywanie histogramów po zakończeniu badania (off-</w:t>
            </w:r>
            <w:proofErr w:type="spellStart"/>
            <w:r w:rsidRPr="00FC7603">
              <w:rPr>
                <w:rFonts w:ascii="Times New Roman" w:hAnsi="Times New Roman" w:cs="Times New Roman"/>
                <w:color w:val="000000"/>
              </w:rPr>
              <w:t>line</w:t>
            </w:r>
            <w:proofErr w:type="spellEnd"/>
            <w:r w:rsidRPr="00FC7603">
              <w:rPr>
                <w:rFonts w:ascii="Times New Roman" w:hAnsi="Times New Roman" w:cs="Times New Roman"/>
                <w:color w:val="000000"/>
              </w:rPr>
              <w:t>). Obsługuje retrospektywne histogramy w dowolnie wybranym przedziale czasu, od 3 sekund wzwyż, dla nawet 100 klatek, zależnie od dostępnej pamięci dyskowej. Zapewnia obsługę dynamicznych badań całego ciała (</w:t>
            </w:r>
            <w:proofErr w:type="spellStart"/>
            <w:r w:rsidRPr="00FC7603">
              <w:rPr>
                <w:rFonts w:ascii="Times New Roman" w:hAnsi="Times New Roman" w:cs="Times New Roman"/>
                <w:color w:val="000000"/>
              </w:rPr>
              <w:t>multi-bed</w:t>
            </w:r>
            <w:proofErr w:type="spellEnd"/>
            <w:r w:rsidRPr="00FC7603">
              <w:rPr>
                <w:rFonts w:ascii="Times New Roman" w:hAnsi="Times New Roman" w:cs="Times New Roman"/>
                <w:color w:val="000000"/>
              </w:rPr>
              <w:t>) obejmujących do 25 przebiegów.</w:t>
            </w:r>
          </w:p>
        </w:tc>
        <w:tc>
          <w:tcPr>
            <w:tcW w:w="1560" w:type="dxa"/>
            <w:vAlign w:val="center"/>
          </w:tcPr>
          <w:p w14:paraId="5215B2ED" w14:textId="25F70164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57E083D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F0ED357" w14:textId="74C3F0A8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78FE248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DFFDD19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7BD1C37F" w14:textId="7AD57840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7603">
              <w:rPr>
                <w:rFonts w:ascii="Times New Roman" w:hAnsi="Times New Roman" w:cs="Times New Roman"/>
                <w:color w:val="000000"/>
              </w:rPr>
              <w:t>Funkcjonalność zarządzania dawką promieniowania w tomografii komputerowej, zapewniając ostrzeżenia o możliwym przekroczeniu dawki referencyjnej w badaniu, jak również analizuje dawkę skumulowaną.</w:t>
            </w:r>
          </w:p>
        </w:tc>
        <w:tc>
          <w:tcPr>
            <w:tcW w:w="1560" w:type="dxa"/>
            <w:vAlign w:val="center"/>
          </w:tcPr>
          <w:p w14:paraId="3945E0EA" w14:textId="35CEF4F1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8D23B90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443D2E3" w14:textId="1BF45093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68B9EEE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BDFB004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F70318B" w14:textId="56405F7F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7603">
              <w:rPr>
                <w:rFonts w:ascii="Times New Roman" w:hAnsi="Times New Roman" w:cs="Times New Roman"/>
                <w:color w:val="000000"/>
              </w:rPr>
              <w:t>Synchronizuje skanowanie i wstrzyknięcie kontrastu oraz przesyła dane protokołu wstrzykiwania w protokole pacjenta, w dzienniku elektronicznym i do MPPS (jeśli jest skonfigurowane).</w:t>
            </w:r>
          </w:p>
        </w:tc>
        <w:tc>
          <w:tcPr>
            <w:tcW w:w="1560" w:type="dxa"/>
            <w:vAlign w:val="center"/>
          </w:tcPr>
          <w:p w14:paraId="2E295BCB" w14:textId="13248F61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3B33A5D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DD2BD6E" w14:textId="06C3CE7A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545559AB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00F6B90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A9E4403" w14:textId="1497061A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7603">
              <w:rPr>
                <w:rFonts w:ascii="Times New Roman" w:hAnsi="Times New Roman" w:cs="Times New Roman"/>
                <w:color w:val="000000"/>
              </w:rPr>
              <w:t>Funkcjonalność zapewniająca przyspieszenie pracy na aparacie dzięki możliwości automatycznego eksportowania danych (obrazów, surowych danych PET) na zewnętrzny dysk USB lub dysk udostępniony w sieci. Obrazy gotowe do PACS (czołowy, strzałkowy, poprzeczny) są tworzone automatycznie przy użyciu technologii sztucznej inteligencji, eliminując liczbę „pustych” obrazów wysyłanych do PACS.</w:t>
            </w:r>
          </w:p>
        </w:tc>
        <w:tc>
          <w:tcPr>
            <w:tcW w:w="1560" w:type="dxa"/>
            <w:vAlign w:val="center"/>
          </w:tcPr>
          <w:p w14:paraId="14A3F29F" w14:textId="2C8F152C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09F74D5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051FCA0" w14:textId="20D4E534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5AFBE866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2A60A65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6E98821" w14:textId="2A3C26A6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7603">
              <w:rPr>
                <w:rFonts w:ascii="Times New Roman" w:hAnsi="Times New Roman" w:cs="Times New Roman"/>
                <w:color w:val="000000"/>
              </w:rPr>
              <w:t xml:space="preserve">Dedykowany do radioterapii algorytm umożliwiający uniezależnienie jednostek HU na rekonstruowanym obrazie od zastosowanej wartości </w:t>
            </w:r>
            <w:proofErr w:type="spellStart"/>
            <w:r w:rsidRPr="00FC7603">
              <w:rPr>
                <w:rFonts w:ascii="Times New Roman" w:hAnsi="Times New Roman" w:cs="Times New Roman"/>
                <w:color w:val="000000"/>
              </w:rPr>
              <w:t>kV</w:t>
            </w:r>
            <w:proofErr w:type="spellEnd"/>
            <w:r w:rsidRPr="00FC7603">
              <w:rPr>
                <w:rFonts w:ascii="Times New Roman" w:hAnsi="Times New Roman" w:cs="Times New Roman"/>
                <w:color w:val="000000"/>
              </w:rPr>
              <w:t xml:space="preserve">. Uzyskane obrazy są odwzorowane we względnej gęstości elektronowej. Umożliwiający wprowadzenie jednej krzywej gęstości elektronowych dla wszystkich </w:t>
            </w:r>
            <w:proofErr w:type="spellStart"/>
            <w:r w:rsidRPr="00FC7603">
              <w:rPr>
                <w:rFonts w:ascii="Times New Roman" w:hAnsi="Times New Roman" w:cs="Times New Roman"/>
                <w:color w:val="000000"/>
              </w:rPr>
              <w:t>kV</w:t>
            </w:r>
            <w:proofErr w:type="spellEnd"/>
            <w:r w:rsidRPr="00FC7603">
              <w:rPr>
                <w:rFonts w:ascii="Times New Roman" w:hAnsi="Times New Roman" w:cs="Times New Roman"/>
                <w:color w:val="000000"/>
              </w:rPr>
              <w:t xml:space="preserve"> do systemu planowania.</w:t>
            </w:r>
          </w:p>
        </w:tc>
        <w:tc>
          <w:tcPr>
            <w:tcW w:w="1560" w:type="dxa"/>
            <w:vAlign w:val="center"/>
          </w:tcPr>
          <w:p w14:paraId="48181FBF" w14:textId="001B8969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6086C058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C8DE7A1" w14:textId="2269CF4A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03B773C9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D0F73E3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4DD9559" w14:textId="57DC3F18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7603">
              <w:rPr>
                <w:rFonts w:ascii="Times New Roman" w:hAnsi="Times New Roman" w:cs="Times New Roman"/>
                <w:color w:val="000000"/>
              </w:rPr>
              <w:t>Możliwość porównywania badań PET z różnych skalibrowanych za pośrednictwem fantomów NEMA skanerów PET/CT. Badań wykonanych przy różnych parametrach rekonstrukcji dających możliwość rzetelnej oceny SUV tj. możliwości oceny progresu lub regresu zmiany chorobowej.</w:t>
            </w:r>
          </w:p>
        </w:tc>
        <w:tc>
          <w:tcPr>
            <w:tcW w:w="1560" w:type="dxa"/>
            <w:vAlign w:val="center"/>
          </w:tcPr>
          <w:p w14:paraId="63B72E8D" w14:textId="237FD362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581D269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071AAEF" w14:textId="504203BA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31DCBC8D" w14:textId="77777777" w:rsidTr="00FA77D1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BF95FAD" w14:textId="77777777" w:rsidR="00FE6E75" w:rsidRPr="000353C4" w:rsidRDefault="00FE6E75" w:rsidP="00FE6E7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shd w:val="clear" w:color="auto" w:fill="auto"/>
            <w:vAlign w:val="center"/>
          </w:tcPr>
          <w:p w14:paraId="7D75F8F5" w14:textId="7E55FDDE" w:rsidR="00FE6E75" w:rsidRPr="00EB15F2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15F2">
              <w:rPr>
                <w:rFonts w:ascii="Times New Roman" w:hAnsi="Times New Roman" w:cs="Times New Roman"/>
                <w:b/>
              </w:rPr>
              <w:t>Wyposażenie dodatkowe</w:t>
            </w:r>
          </w:p>
        </w:tc>
      </w:tr>
      <w:tr w:rsidR="00FE6E75" w:rsidRPr="000353C4" w14:paraId="2E367B8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CB20276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04FBE76" w14:textId="588DACF0" w:rsidR="00FE6E75" w:rsidRPr="008C2B72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2B72">
              <w:rPr>
                <w:rFonts w:ascii="Times New Roman" w:hAnsi="Times New Roman" w:cs="Times New Roman"/>
                <w:color w:val="000000"/>
              </w:rPr>
              <w:t xml:space="preserve">System </w:t>
            </w:r>
            <w:proofErr w:type="spellStart"/>
            <w:r w:rsidRPr="008C2B72">
              <w:rPr>
                <w:rFonts w:ascii="Times New Roman" w:hAnsi="Times New Roman" w:cs="Times New Roman"/>
                <w:color w:val="000000"/>
              </w:rPr>
              <w:t>centratorów</w:t>
            </w:r>
            <w:proofErr w:type="spellEnd"/>
            <w:r w:rsidRPr="008C2B72">
              <w:rPr>
                <w:rFonts w:ascii="Times New Roman" w:hAnsi="Times New Roman" w:cs="Times New Roman"/>
                <w:color w:val="000000"/>
              </w:rPr>
              <w:t xml:space="preserve"> laserowych przesuwnych, sterowanych komputerowo umożliwiający pozycjonowanie </w:t>
            </w:r>
            <w:proofErr w:type="spellStart"/>
            <w:r w:rsidRPr="008C2B72">
              <w:rPr>
                <w:rFonts w:ascii="Times New Roman" w:hAnsi="Times New Roman" w:cs="Times New Roman"/>
                <w:color w:val="000000"/>
              </w:rPr>
              <w:t>izocentrum</w:t>
            </w:r>
            <w:proofErr w:type="spellEnd"/>
            <w:r w:rsidRPr="008C2B72">
              <w:rPr>
                <w:rFonts w:ascii="Times New Roman" w:hAnsi="Times New Roman" w:cs="Times New Roman"/>
                <w:color w:val="000000"/>
              </w:rPr>
              <w:t xml:space="preserve"> planu leczenia na podstawie danych z dostarczonej stacji wirtualnej symulacji,</w:t>
            </w:r>
          </w:p>
          <w:p w14:paraId="6E4A9D64" w14:textId="77777777" w:rsidR="00FE6E75" w:rsidRPr="008C2B72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2B72">
              <w:rPr>
                <w:rFonts w:ascii="Times New Roman" w:hAnsi="Times New Roman" w:cs="Times New Roman"/>
                <w:color w:val="000000"/>
              </w:rPr>
              <w:t>- dwa boczne kolumnowe (nie naścienne) z przesuwem w osi pionowej</w:t>
            </w:r>
          </w:p>
          <w:p w14:paraId="3F84EE14" w14:textId="77777777" w:rsidR="00FE6E75" w:rsidRPr="008C2B72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2B72">
              <w:rPr>
                <w:rFonts w:ascii="Times New Roman" w:hAnsi="Times New Roman" w:cs="Times New Roman"/>
                <w:color w:val="000000"/>
              </w:rPr>
              <w:t>- jeden sufitowy z przesuwem w poprzek osi długiej stołu TK</w:t>
            </w:r>
          </w:p>
          <w:p w14:paraId="69AE4CB4" w14:textId="77777777" w:rsidR="00FE6E75" w:rsidRPr="008C2B72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2B72">
              <w:rPr>
                <w:rFonts w:ascii="Times New Roman" w:hAnsi="Times New Roman" w:cs="Times New Roman"/>
                <w:color w:val="000000"/>
              </w:rPr>
              <w:t>- kolor wiązek laserowych: czerwony</w:t>
            </w:r>
          </w:p>
          <w:p w14:paraId="5EC1949E" w14:textId="77777777" w:rsidR="00FE6E75" w:rsidRPr="008C2B72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2B72">
              <w:rPr>
                <w:rFonts w:ascii="Times New Roman" w:hAnsi="Times New Roman" w:cs="Times New Roman"/>
                <w:color w:val="000000"/>
              </w:rPr>
              <w:t>- kolorowy dotykowy panel sterujący</w:t>
            </w:r>
          </w:p>
          <w:p w14:paraId="436F5B92" w14:textId="77777777" w:rsidR="00FE6E75" w:rsidRPr="008C2B72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2B72">
              <w:rPr>
                <w:rFonts w:ascii="Times New Roman" w:hAnsi="Times New Roman" w:cs="Times New Roman"/>
                <w:color w:val="000000"/>
              </w:rPr>
              <w:t>np. model LAP Dorado Nova 3 RED lub równoważny</w:t>
            </w:r>
          </w:p>
          <w:p w14:paraId="14154CAD" w14:textId="08D53DB8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C2B72">
              <w:rPr>
                <w:rFonts w:ascii="Times New Roman" w:hAnsi="Times New Roman" w:cs="Times New Roman"/>
                <w:color w:val="000000"/>
              </w:rPr>
              <w:t>- fantom lub komplet fantomów do wer</w:t>
            </w:r>
            <w:r>
              <w:rPr>
                <w:rFonts w:ascii="Times New Roman" w:hAnsi="Times New Roman" w:cs="Times New Roman"/>
                <w:color w:val="000000"/>
              </w:rPr>
              <w:t xml:space="preserve">yfikacji ustawienia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centratorów</w:t>
            </w:r>
            <w:proofErr w:type="spellEnd"/>
          </w:p>
        </w:tc>
        <w:tc>
          <w:tcPr>
            <w:tcW w:w="1560" w:type="dxa"/>
            <w:vAlign w:val="center"/>
          </w:tcPr>
          <w:p w14:paraId="102B3A3B" w14:textId="42F5CDB4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65659171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4899C1B" w14:textId="3AFF613A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2A6B544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B2E6520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DEA7077" w14:textId="5897F08F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B15F2">
              <w:rPr>
                <w:rFonts w:ascii="Times New Roman" w:hAnsi="Times New Roman" w:cs="Times New Roman"/>
                <w:color w:val="000000"/>
              </w:rPr>
              <w:t>Źródło izotopowe (lub źródła), fantom lub komplet fantomów oraz oprogramowanie niezbędne do kalibracji codziennej modułu PET zal</w:t>
            </w:r>
            <w:r w:rsidR="002D692D">
              <w:rPr>
                <w:rFonts w:ascii="Times New Roman" w:hAnsi="Times New Roman" w:cs="Times New Roman"/>
                <w:color w:val="000000"/>
              </w:rPr>
              <w:t xml:space="preserve">ecanej przez producenta. </w:t>
            </w:r>
            <w:r w:rsidRPr="00EB15F2">
              <w:rPr>
                <w:rFonts w:ascii="Times New Roman" w:hAnsi="Times New Roman" w:cs="Times New Roman"/>
                <w:color w:val="000000"/>
              </w:rPr>
              <w:t>Wykonawca w okresie gwarancji jest zobowiązany do dostarczenia i wymiany izotopowego źródła kalibracyjnego po upływie jego przydatności – na podstawie komunikatu zgłaszanego przez system PET/CT.</w:t>
            </w:r>
            <w:r>
              <w:rPr>
                <w:rFonts w:ascii="Times New Roman" w:hAnsi="Times New Roman" w:cs="Times New Roman"/>
                <w:color w:val="000000"/>
              </w:rPr>
              <w:t xml:space="preserve"> Podać nazwę producenta.</w:t>
            </w:r>
            <w:r w:rsidR="00A70A4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70A42" w:rsidRPr="00A70A42">
              <w:rPr>
                <w:rFonts w:ascii="Times New Roman" w:hAnsi="Times New Roman" w:cs="Times New Roman"/>
                <w:color w:val="000000"/>
              </w:rPr>
              <w:t>Na wyposażeniu każdego źródła 2 pojemniki osłonne do przechowywania źródła.</w:t>
            </w:r>
          </w:p>
        </w:tc>
        <w:tc>
          <w:tcPr>
            <w:tcW w:w="1560" w:type="dxa"/>
            <w:vAlign w:val="center"/>
          </w:tcPr>
          <w:p w14:paraId="65E9582D" w14:textId="78535673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  <w:r w:rsidR="00A70A42">
              <w:rPr>
                <w:rFonts w:ascii="Times New Roman" w:eastAsia="Calibri" w:hAnsi="Times New Roman" w:cs="Times New Roman"/>
              </w:rPr>
              <w:t>, opisać</w:t>
            </w:r>
          </w:p>
        </w:tc>
        <w:tc>
          <w:tcPr>
            <w:tcW w:w="3269" w:type="dxa"/>
            <w:vAlign w:val="center"/>
          </w:tcPr>
          <w:p w14:paraId="43E8931C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C606E11" w14:textId="0F95D91B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0A659523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28DC471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43B62547" w14:textId="45EF5F6C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C63A7">
              <w:rPr>
                <w:rFonts w:ascii="Times New Roman" w:hAnsi="Times New Roman" w:cs="Times New Roman"/>
                <w:color w:val="000000"/>
              </w:rPr>
              <w:t>Fantom lub komplet fantomów do kontroli zalecanej przez producenta oraz do wykonywania testów eksploatacyjnych podstawowych modułu CT zgodnie z aktualnym Rozporządzeniem Ministra Zdrowia „w sprawie warunków bezpiecznego stosowania promieniowania jonizującego dla wszystkich rodzajów ekspozycji medycznej” (zapisy dotyczące zakresu i częstości wykonywania testów eksploatacyjnych podstawowych w tomografii komputerowej).</w:t>
            </w:r>
          </w:p>
        </w:tc>
        <w:tc>
          <w:tcPr>
            <w:tcW w:w="1560" w:type="dxa"/>
            <w:vAlign w:val="center"/>
          </w:tcPr>
          <w:p w14:paraId="3DC0E2F2" w14:textId="7E54623B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BCF22B3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472FD20" w14:textId="02B68ED2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4A677A0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6171164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E031393" w14:textId="0C050CC9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C63A7">
              <w:rPr>
                <w:rFonts w:ascii="Times New Roman" w:hAnsi="Times New Roman" w:cs="Times New Roman"/>
                <w:color w:val="000000"/>
              </w:rPr>
              <w:t>Fantom lub komplet fantomów oraz oprogramowanie niezbędne do kontroli zalecanej przez producenta oraz do wykonywania testów podstawowych modułu PET zgodnie z aktualnym Rozporządzeniem Ministra Zdrowia „w sprawie warunków bezpiecznego stosowania promieniowania jonizującego dla wszystkich rodzajów ekspozycji medycznej”.</w:t>
            </w:r>
          </w:p>
        </w:tc>
        <w:tc>
          <w:tcPr>
            <w:tcW w:w="1560" w:type="dxa"/>
            <w:vAlign w:val="center"/>
          </w:tcPr>
          <w:p w14:paraId="0712DE20" w14:textId="06495AF0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9E01E81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5FF3380" w14:textId="3091AFA2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1E2D8F7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AFC84F0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484ACAE" w14:textId="26922814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C63A7">
              <w:rPr>
                <w:rFonts w:ascii="Times New Roman" w:hAnsi="Times New Roman" w:cs="Times New Roman"/>
                <w:color w:val="000000"/>
              </w:rPr>
              <w:t xml:space="preserve">Podłączenie oferowanych urządzeń do istniejącego w szpitalu systemu PACS/RIS firmy </w:t>
            </w:r>
            <w:proofErr w:type="spellStart"/>
            <w:r w:rsidRPr="009C63A7">
              <w:rPr>
                <w:rFonts w:ascii="Times New Roman" w:hAnsi="Times New Roman" w:cs="Times New Roman"/>
                <w:color w:val="000000"/>
              </w:rPr>
              <w:t>Pixel</w:t>
            </w:r>
            <w:proofErr w:type="spellEnd"/>
            <w:r w:rsidRPr="009C63A7">
              <w:rPr>
                <w:rFonts w:ascii="Times New Roman" w:hAnsi="Times New Roman" w:cs="Times New Roman"/>
                <w:color w:val="000000"/>
              </w:rPr>
              <w:t xml:space="preserve"> w zakresie umożliwiającym transfer obrazów diagnostycznych do/z archiwum cyfrowego PACS, realizowanie funkcji DICOM WORKLIST. Koszty podłączenia do PACS/RIS firmy </w:t>
            </w:r>
            <w:proofErr w:type="spellStart"/>
            <w:r w:rsidRPr="009C63A7">
              <w:rPr>
                <w:rFonts w:ascii="Times New Roman" w:hAnsi="Times New Roman" w:cs="Times New Roman"/>
                <w:color w:val="000000"/>
              </w:rPr>
              <w:t>Pixel</w:t>
            </w:r>
            <w:proofErr w:type="spellEnd"/>
            <w:r w:rsidRPr="009C63A7">
              <w:rPr>
                <w:rFonts w:ascii="Times New Roman" w:hAnsi="Times New Roman" w:cs="Times New Roman"/>
                <w:color w:val="000000"/>
              </w:rPr>
              <w:t xml:space="preserve"> po stronie Wykonawcy.</w:t>
            </w:r>
          </w:p>
        </w:tc>
        <w:tc>
          <w:tcPr>
            <w:tcW w:w="1560" w:type="dxa"/>
            <w:vAlign w:val="center"/>
          </w:tcPr>
          <w:p w14:paraId="70E1393E" w14:textId="47325313" w:rsidR="00FE6E75" w:rsidRDefault="00FE6E75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B5DFBE8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F95BAD7" w14:textId="600BAD2C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E75" w:rsidRPr="000353C4" w14:paraId="7715C0B5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4E68FE4" w14:textId="77777777" w:rsidR="00FE6E75" w:rsidRPr="000353C4" w:rsidRDefault="00FE6E75" w:rsidP="00FE6E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C2B03BB" w14:textId="36D29355" w:rsidR="00FE6E75" w:rsidRPr="00965604" w:rsidRDefault="00FE6E75" w:rsidP="00FE6E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C63A7">
              <w:rPr>
                <w:rFonts w:ascii="Times New Roman" w:hAnsi="Times New Roman" w:cs="Times New Roman"/>
                <w:color w:val="000000"/>
              </w:rPr>
              <w:t xml:space="preserve">Robot do nagrywania badań na płytach CD/DVD (z automatycznym atramentowym nadrukiem opisu) wraz z oprogramowaniem oraz niezbędną bezterminową licencją na użytkowanie oprogramowania jeżeli takowa jest wymagana. Integracja i konfiguracja robota z posiadanymi przez zamawiającego systemem PACS (PIXEL). Licencje na podłączenie do systemu PACS po stronie </w:t>
            </w:r>
            <w:r>
              <w:rPr>
                <w:rFonts w:ascii="Times New Roman" w:hAnsi="Times New Roman" w:cs="Times New Roman"/>
                <w:color w:val="000000"/>
              </w:rPr>
              <w:t>Wykonawcy. K</w:t>
            </w:r>
            <w:r w:rsidRPr="009C63A7">
              <w:rPr>
                <w:rFonts w:ascii="Times New Roman" w:hAnsi="Times New Roman" w:cs="Times New Roman"/>
                <w:color w:val="000000"/>
              </w:rPr>
              <w:t xml:space="preserve">oszty integracji po stronie systemu PACS ponosi </w:t>
            </w:r>
            <w:r>
              <w:rPr>
                <w:rFonts w:ascii="Times New Roman" w:hAnsi="Times New Roman" w:cs="Times New Roman"/>
                <w:color w:val="000000"/>
              </w:rPr>
              <w:t>Wykonawca</w:t>
            </w:r>
            <w:r w:rsidRPr="009C63A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Podać model robota.</w:t>
            </w:r>
          </w:p>
        </w:tc>
        <w:tc>
          <w:tcPr>
            <w:tcW w:w="1560" w:type="dxa"/>
            <w:vAlign w:val="center"/>
          </w:tcPr>
          <w:p w14:paraId="093AF7FA" w14:textId="4D5E4D17" w:rsidR="00FE6E75" w:rsidRDefault="00253E9B" w:rsidP="00FE6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647D989" w14:textId="77777777" w:rsidR="00FE6E75" w:rsidRPr="000353C4" w:rsidRDefault="00FE6E75" w:rsidP="00FE6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D711A95" w14:textId="7241CBA7" w:rsidR="00FE6E75" w:rsidRDefault="00FE6E75" w:rsidP="00FE6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E9B" w:rsidRPr="000353C4" w14:paraId="1D130C58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AB8C141" w14:textId="77777777" w:rsidR="00253E9B" w:rsidRPr="000353C4" w:rsidRDefault="00253E9B" w:rsidP="00253E9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CDAB3A1" w14:textId="530EB2D2" w:rsidR="00253E9B" w:rsidRPr="002406BD" w:rsidRDefault="00253E9B" w:rsidP="00253E9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93262">
              <w:rPr>
                <w:rFonts w:ascii="Times New Roman" w:hAnsi="Times New Roman" w:cs="Times New Roman"/>
                <w:color w:val="000000"/>
              </w:rPr>
              <w:t>Przycisk powiadomienia dla pacjenta</w:t>
            </w:r>
          </w:p>
        </w:tc>
        <w:tc>
          <w:tcPr>
            <w:tcW w:w="1560" w:type="dxa"/>
            <w:vAlign w:val="center"/>
          </w:tcPr>
          <w:p w14:paraId="5D29F93C" w14:textId="754CEBC0" w:rsidR="00253E9B" w:rsidRDefault="00253E9B" w:rsidP="00253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E4B5328" w14:textId="77777777" w:rsidR="00253E9B" w:rsidRPr="000353C4" w:rsidRDefault="00253E9B" w:rsidP="00253E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AC1EFA3" w14:textId="612EC0D9" w:rsidR="00253E9B" w:rsidRDefault="00253E9B" w:rsidP="00253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3DBB5418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39EF9E7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4E5CBDD" w14:textId="15639C55" w:rsidR="006A1D2F" w:rsidRPr="002406B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B3DA7">
              <w:rPr>
                <w:rFonts w:ascii="Times New Roman" w:hAnsi="Times New Roman" w:cs="Times New Roman"/>
                <w:color w:val="000000"/>
              </w:rPr>
              <w:t xml:space="preserve">Dostosowanie zainstalowanej komory gorącej NMC do aktualnych wymagań. Wymiana min. miernika </w:t>
            </w:r>
            <w:r w:rsidRPr="001B3DA7">
              <w:rPr>
                <w:rFonts w:ascii="Times New Roman" w:hAnsi="Times New Roman" w:cs="Times New Roman"/>
                <w:color w:val="000000"/>
              </w:rPr>
              <w:lastRenderedPageBreak/>
              <w:t>aktywności dawki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wraz z wzorcowaniem</w:t>
            </w:r>
            <w:r w:rsidRPr="001B3DA7">
              <w:rPr>
                <w:rFonts w:ascii="Times New Roman" w:hAnsi="Times New Roman" w:cs="Times New Roman"/>
                <w:color w:val="000000"/>
              </w:rPr>
              <w:t xml:space="preserve">, wyeksploatowanych elementów hydraulicznych, łożysk w szufladach, pompy dyspensera, </w:t>
            </w:r>
            <w:r>
              <w:rPr>
                <w:rFonts w:ascii="Times New Roman" w:hAnsi="Times New Roman" w:cs="Times New Roman"/>
                <w:color w:val="000000"/>
              </w:rPr>
              <w:t xml:space="preserve">wykonanie </w:t>
            </w:r>
            <w:r w:rsidRPr="001B3DA7">
              <w:rPr>
                <w:rFonts w:ascii="Times New Roman" w:hAnsi="Times New Roman" w:cs="Times New Roman"/>
                <w:color w:val="000000"/>
              </w:rPr>
              <w:t xml:space="preserve">przegląd kontroli działania po uruchomieniu aparatu </w:t>
            </w:r>
            <w:r>
              <w:rPr>
                <w:rFonts w:ascii="Times New Roman" w:hAnsi="Times New Roman" w:cs="Times New Roman"/>
                <w:color w:val="000000"/>
              </w:rPr>
              <w:t>PET</w:t>
            </w:r>
            <w:r w:rsidRPr="001B3DA7">
              <w:rPr>
                <w:rFonts w:ascii="Times New Roman" w:hAnsi="Times New Roman" w:cs="Times New Roman"/>
                <w:color w:val="000000"/>
              </w:rPr>
              <w:t>/CT.</w:t>
            </w:r>
          </w:p>
        </w:tc>
        <w:tc>
          <w:tcPr>
            <w:tcW w:w="1560" w:type="dxa"/>
            <w:vAlign w:val="center"/>
          </w:tcPr>
          <w:p w14:paraId="0ECAB8ED" w14:textId="6711305C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3269" w:type="dxa"/>
            <w:vAlign w:val="center"/>
          </w:tcPr>
          <w:p w14:paraId="12251532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3AAE260" w14:textId="59A93659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3BCE0255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88EE641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D2400E3" w14:textId="295EC69E" w:rsidR="006A1D2F" w:rsidRPr="0096560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406BD">
              <w:rPr>
                <w:rFonts w:ascii="Times New Roman" w:hAnsi="Times New Roman" w:cs="Times New Roman"/>
                <w:color w:val="000000"/>
              </w:rPr>
              <w:t xml:space="preserve">Zasilacz awaryjny (UPS) zapewniający min. 5 minut zasilania rezerwowego do </w:t>
            </w:r>
            <w:proofErr w:type="spellStart"/>
            <w:r w:rsidRPr="002406BD">
              <w:rPr>
                <w:rFonts w:ascii="Times New Roman" w:hAnsi="Times New Roman" w:cs="Times New Roman"/>
                <w:color w:val="000000"/>
              </w:rPr>
              <w:t>gantry</w:t>
            </w:r>
            <w:proofErr w:type="spellEnd"/>
            <w:r w:rsidRPr="002406BD">
              <w:rPr>
                <w:rFonts w:ascii="Times New Roman" w:hAnsi="Times New Roman" w:cs="Times New Roman"/>
                <w:color w:val="000000"/>
              </w:rPr>
              <w:t xml:space="preserve"> PET i komputera akwizycji/rekonstrukcji PET, umożliwiając prawidłowe wyłączenie systemu PET w przypadku utraty zasilania.</w:t>
            </w:r>
          </w:p>
        </w:tc>
        <w:tc>
          <w:tcPr>
            <w:tcW w:w="1560" w:type="dxa"/>
            <w:vAlign w:val="center"/>
          </w:tcPr>
          <w:p w14:paraId="2942E3ED" w14:textId="70A9C7FB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62EBE50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A47B3EA" w14:textId="4B96D54A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2F02186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93C470D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487EA533" w14:textId="40ABF43D" w:rsidR="006A1D2F" w:rsidRPr="0096560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406BD">
              <w:rPr>
                <w:rFonts w:ascii="Times New Roman" w:hAnsi="Times New Roman" w:cs="Times New Roman"/>
                <w:color w:val="000000"/>
              </w:rPr>
              <w:t>Archiwizacja wybranych badań na nośniku CD lub DVD w formacie DICOM 3.0, wraz z DICOMDIR i przeglądarką badań.</w:t>
            </w:r>
          </w:p>
        </w:tc>
        <w:tc>
          <w:tcPr>
            <w:tcW w:w="1560" w:type="dxa"/>
            <w:vAlign w:val="center"/>
          </w:tcPr>
          <w:p w14:paraId="3D946973" w14:textId="3C69DE59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19E250B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AFFB651" w14:textId="7481535E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F0A" w:rsidRPr="000353C4" w14:paraId="1D03B8D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9C83A21" w14:textId="77777777" w:rsidR="005F5F0A" w:rsidRPr="000353C4" w:rsidRDefault="005F5F0A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16AC33B" w14:textId="7421B302" w:rsidR="005F5F0A" w:rsidRPr="002406BD" w:rsidRDefault="005F5F0A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F5F0A">
              <w:rPr>
                <w:rFonts w:ascii="Times New Roman" w:hAnsi="Times New Roman" w:cs="Times New Roman"/>
                <w:color w:val="000000"/>
              </w:rPr>
              <w:t xml:space="preserve">Zestaw osłon osobistych dla pracowników zawierający min. 2 x fartuch ochronny (o osłonności min. 0,3 </w:t>
            </w:r>
            <w:proofErr w:type="spellStart"/>
            <w:r w:rsidRPr="005F5F0A">
              <w:rPr>
                <w:rFonts w:ascii="Times New Roman" w:hAnsi="Times New Roman" w:cs="Times New Roman"/>
                <w:color w:val="000000"/>
              </w:rPr>
              <w:t>mmPb</w:t>
            </w:r>
            <w:proofErr w:type="spellEnd"/>
            <w:r w:rsidRPr="005F5F0A">
              <w:rPr>
                <w:rFonts w:ascii="Times New Roman" w:hAnsi="Times New Roman" w:cs="Times New Roman"/>
                <w:color w:val="000000"/>
              </w:rPr>
              <w:t xml:space="preserve">), 2x gogle lub okulary ochronne (o osłonności min. 0,5 </w:t>
            </w:r>
            <w:proofErr w:type="spellStart"/>
            <w:r w:rsidRPr="005F5F0A">
              <w:rPr>
                <w:rFonts w:ascii="Times New Roman" w:hAnsi="Times New Roman" w:cs="Times New Roman"/>
                <w:color w:val="000000"/>
              </w:rPr>
              <w:t>mmPb</w:t>
            </w:r>
            <w:proofErr w:type="spellEnd"/>
            <w:r w:rsidRPr="005F5F0A">
              <w:rPr>
                <w:rFonts w:ascii="Times New Roman" w:hAnsi="Times New Roman" w:cs="Times New Roman"/>
                <w:color w:val="000000"/>
              </w:rPr>
              <w:t xml:space="preserve">) z ekranami bocznymi i możliwością stosowania dozymetrii TL na soczewki, 1 x rękawice ochronne (o osłonności min. 0,25 </w:t>
            </w:r>
            <w:proofErr w:type="spellStart"/>
            <w:r w:rsidRPr="005F5F0A">
              <w:rPr>
                <w:rFonts w:ascii="Times New Roman" w:hAnsi="Times New Roman" w:cs="Times New Roman"/>
                <w:color w:val="000000"/>
              </w:rPr>
              <w:t>mmPb</w:t>
            </w:r>
            <w:proofErr w:type="spellEnd"/>
            <w:r w:rsidRPr="005F5F0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60" w:type="dxa"/>
            <w:vAlign w:val="center"/>
          </w:tcPr>
          <w:p w14:paraId="77D06D98" w14:textId="26EFDAA1" w:rsidR="005F5F0A" w:rsidRDefault="005F5F0A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2096525" w14:textId="77777777" w:rsidR="005F5F0A" w:rsidRPr="000353C4" w:rsidRDefault="005F5F0A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D7A044D" w14:textId="77777777" w:rsidR="005F5F0A" w:rsidRDefault="005F5F0A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F0A" w:rsidRPr="000353C4" w14:paraId="5D095495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F221BC4" w14:textId="77777777" w:rsidR="005F5F0A" w:rsidRPr="000353C4" w:rsidRDefault="005F5F0A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A90183B" w14:textId="01D86109" w:rsidR="005F5F0A" w:rsidRPr="002406BD" w:rsidRDefault="005F5F0A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F5F0A">
              <w:rPr>
                <w:rFonts w:ascii="Times New Roman" w:hAnsi="Times New Roman" w:cs="Times New Roman"/>
                <w:color w:val="000000"/>
              </w:rPr>
              <w:t>Monitor skażeń osobistych przeznaczony do pomiaru skażeń dłoni, stóp i odzieży.</w:t>
            </w:r>
          </w:p>
        </w:tc>
        <w:tc>
          <w:tcPr>
            <w:tcW w:w="1560" w:type="dxa"/>
            <w:vAlign w:val="center"/>
          </w:tcPr>
          <w:p w14:paraId="54FE43CF" w14:textId="645EECE7" w:rsidR="005F5F0A" w:rsidRDefault="005F5F0A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97C34C4" w14:textId="77777777" w:rsidR="005F5F0A" w:rsidRPr="000353C4" w:rsidRDefault="005F5F0A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D011180" w14:textId="77777777" w:rsidR="005F5F0A" w:rsidRDefault="005F5F0A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37155C41" w14:textId="77777777" w:rsidTr="00FA77D1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77D68AA" w14:textId="77777777" w:rsidR="006A1D2F" w:rsidRPr="000353C4" w:rsidRDefault="006A1D2F" w:rsidP="006A1D2F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shd w:val="clear" w:color="auto" w:fill="auto"/>
            <w:vAlign w:val="center"/>
          </w:tcPr>
          <w:p w14:paraId="3AFA8036" w14:textId="4BBF07DA" w:rsidR="006A1D2F" w:rsidRPr="00A00A6C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0A6C">
              <w:rPr>
                <w:rFonts w:ascii="Times New Roman" w:hAnsi="Times New Roman" w:cs="Times New Roman"/>
                <w:b/>
              </w:rPr>
              <w:t>Szkolenia</w:t>
            </w:r>
          </w:p>
        </w:tc>
      </w:tr>
      <w:tr w:rsidR="006A1D2F" w:rsidRPr="000353C4" w14:paraId="05392ADB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980EBC6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760CA762" w14:textId="6102D4FD" w:rsidR="006A1D2F" w:rsidRPr="003513AC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513AC">
              <w:rPr>
                <w:rFonts w:ascii="Times New Roman" w:hAnsi="Times New Roman" w:cs="Times New Roman"/>
                <w:color w:val="000000"/>
              </w:rPr>
              <w:t xml:space="preserve">Szkolenia użytkownika: obejmują skaner PET/CT będący przedmiotem dostawy w zakresie jego obsługi podstawowej i zawansowanej w zakresach dla techników </w:t>
            </w:r>
            <w:proofErr w:type="spellStart"/>
            <w:r w:rsidRPr="003513AC">
              <w:rPr>
                <w:rFonts w:ascii="Times New Roman" w:hAnsi="Times New Roman" w:cs="Times New Roman"/>
                <w:color w:val="000000"/>
              </w:rPr>
              <w:t>elektroradiologii</w:t>
            </w:r>
            <w:proofErr w:type="spellEnd"/>
            <w:r w:rsidRPr="003513AC">
              <w:rPr>
                <w:rFonts w:ascii="Times New Roman" w:hAnsi="Times New Roman" w:cs="Times New Roman"/>
                <w:color w:val="000000"/>
              </w:rPr>
              <w:t xml:space="preserve"> oraz dla fizyków medycznych.</w:t>
            </w:r>
          </w:p>
          <w:p w14:paraId="5E7E4C91" w14:textId="77777777" w:rsidR="006A1D2F" w:rsidRPr="003513AC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513AC">
              <w:rPr>
                <w:rFonts w:ascii="Times New Roman" w:hAnsi="Times New Roman" w:cs="Times New Roman"/>
                <w:color w:val="000000"/>
              </w:rPr>
              <w:t>Szkolenia obejmują także podstawowe czynności nadzoru serwisowego realizowanego przez Użytkownika.</w:t>
            </w:r>
          </w:p>
          <w:p w14:paraId="71E1F3AD" w14:textId="73C47CDC" w:rsidR="006A1D2F" w:rsidRPr="0096560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513AC">
              <w:rPr>
                <w:rFonts w:ascii="Times New Roman" w:hAnsi="Times New Roman" w:cs="Times New Roman"/>
                <w:color w:val="000000"/>
              </w:rPr>
              <w:t>Szkolenia będą wykonane w siedzibie Zamawiającego i w miejscu zainstalowania PET/CT w ciągu minimum 10 dni roboczych dla techników i 3 dni roboczych dla fizyków, w ter</w:t>
            </w:r>
            <w:r>
              <w:rPr>
                <w:rFonts w:ascii="Times New Roman" w:hAnsi="Times New Roman" w:cs="Times New Roman"/>
                <w:color w:val="000000"/>
              </w:rPr>
              <w:t>minie ustalonym z Zamawiającym.</w:t>
            </w:r>
          </w:p>
        </w:tc>
        <w:tc>
          <w:tcPr>
            <w:tcW w:w="1560" w:type="dxa"/>
            <w:vAlign w:val="center"/>
          </w:tcPr>
          <w:p w14:paraId="044E3182" w14:textId="2F519D9A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6CDECDE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504D3AB" w14:textId="20683509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357D942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C3A3646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0411F74" w14:textId="732631B6" w:rsidR="006A1D2F" w:rsidRPr="0096560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00A6C">
              <w:rPr>
                <w:rFonts w:ascii="Times New Roman" w:hAnsi="Times New Roman" w:cs="Times New Roman"/>
                <w:color w:val="000000"/>
              </w:rPr>
              <w:t>Każdy z uczestników szkolenia otrzyma zaświadczenie / certyfikat potwierdzające kwalifikację do obsługi urządzenia</w:t>
            </w:r>
          </w:p>
        </w:tc>
        <w:tc>
          <w:tcPr>
            <w:tcW w:w="1560" w:type="dxa"/>
            <w:vAlign w:val="center"/>
          </w:tcPr>
          <w:p w14:paraId="3D608114" w14:textId="31C99300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A44B13C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85023E2" w14:textId="58C765B9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7526D6D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AA84F3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1BB28C3" w14:textId="46B7D0A3" w:rsidR="006A1D2F" w:rsidRPr="0096560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25ABF">
              <w:rPr>
                <w:rFonts w:ascii="Times New Roman" w:hAnsi="Times New Roman" w:cs="Times New Roman"/>
                <w:color w:val="000000"/>
              </w:rPr>
              <w:t>Szkolenia obejmujące skaner PET/CT będący przedmiotem dostawy w zakresie jego obsługi podstawowej i zawansowanej w zakresach dla inżynierów działu aparatury, a także podstawowe czynności nadzoru serwisowego realizowanego przez Użytkownika. Szkolenia będą wykonane w siedzibie Zamawiającego i w miejscu zainstalowania PET/CT w ciągu minimum 5 dni roboczych, w terminie ustalonym z Zamawiającym.</w:t>
            </w:r>
          </w:p>
        </w:tc>
        <w:tc>
          <w:tcPr>
            <w:tcW w:w="1560" w:type="dxa"/>
            <w:vAlign w:val="center"/>
          </w:tcPr>
          <w:p w14:paraId="04176316" w14:textId="1C1CF303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040F6D9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74AA19D" w14:textId="749640AC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2A984E6D" w14:textId="77777777" w:rsidTr="000151F3">
        <w:trPr>
          <w:trHeight w:val="442"/>
          <w:jc w:val="center"/>
        </w:trPr>
        <w:tc>
          <w:tcPr>
            <w:tcW w:w="556" w:type="dxa"/>
            <w:noWrap/>
            <w:vAlign w:val="center"/>
          </w:tcPr>
          <w:p w14:paraId="7793500A" w14:textId="77777777" w:rsidR="006A1D2F" w:rsidRPr="000353C4" w:rsidRDefault="006A1D2F" w:rsidP="006A1D2F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shd w:val="clear" w:color="auto" w:fill="auto"/>
            <w:vAlign w:val="center"/>
          </w:tcPr>
          <w:p w14:paraId="4C5316A3" w14:textId="05C1B865" w:rsidR="006A1D2F" w:rsidRPr="000151F3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1F3">
              <w:rPr>
                <w:rFonts w:ascii="Times New Roman" w:hAnsi="Times New Roman" w:cs="Times New Roman"/>
                <w:b/>
              </w:rPr>
              <w:t>Stanowiska lekarskie</w:t>
            </w:r>
          </w:p>
        </w:tc>
      </w:tr>
      <w:tr w:rsidR="006A1D2F" w:rsidRPr="000353C4" w14:paraId="4AE0F357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0D73634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bottom"/>
          </w:tcPr>
          <w:p w14:paraId="5B47085C" w14:textId="7F53DE01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Stanowiska lekarskie do przeglądu i opisywania badań pracujące w systemie serwera aplikacyjnego.</w:t>
            </w:r>
          </w:p>
        </w:tc>
        <w:tc>
          <w:tcPr>
            <w:tcW w:w="1560" w:type="dxa"/>
            <w:vAlign w:val="center"/>
          </w:tcPr>
          <w:p w14:paraId="4F18965A" w14:textId="4E8A18ED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D4CD355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7545F84" w14:textId="2FE33EC8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0B4C07D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9AC2A20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003065E" w14:textId="616ED01E" w:rsidR="006A1D2F" w:rsidRPr="0035005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D115E">
              <w:rPr>
                <w:rFonts w:ascii="Times New Roman" w:hAnsi="Times New Roman" w:cs="Times New Roman"/>
                <w:color w:val="000000"/>
              </w:rPr>
              <w:t>Dostawa nowego serwera aplikacyjnego lub adaptacja/wykorzystanie serwera aplikacyjnego p</w:t>
            </w:r>
            <w:r>
              <w:rPr>
                <w:rFonts w:ascii="Times New Roman" w:hAnsi="Times New Roman" w:cs="Times New Roman"/>
                <w:color w:val="000000"/>
              </w:rPr>
              <w:t xml:space="preserve">osiadanego przez Zamawiającego </w:t>
            </w:r>
            <w:r w:rsidRPr="003D115E">
              <w:rPr>
                <w:rFonts w:ascii="Times New Roman" w:hAnsi="Times New Roman" w:cs="Times New Roman"/>
                <w:color w:val="000000"/>
              </w:rPr>
              <w:t>(dostarczonego nie wcześniej niż 1 rok), oraz pod warunkiem spełnienia poniżej podanych wymagań sprzętowych.</w:t>
            </w:r>
          </w:p>
          <w:p w14:paraId="7F18215B" w14:textId="77777777" w:rsidR="006A1D2F" w:rsidRPr="0035005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50054">
              <w:rPr>
                <w:rFonts w:ascii="Times New Roman" w:hAnsi="Times New Roman" w:cs="Times New Roman"/>
                <w:color w:val="000000"/>
              </w:rPr>
              <w:t>Minimalne parametry serwera:</w:t>
            </w:r>
          </w:p>
          <w:p w14:paraId="5BC49EC3" w14:textId="77777777" w:rsidR="006A1D2F" w:rsidRPr="00350054" w:rsidRDefault="006A1D2F" w:rsidP="006A1D2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0054">
              <w:rPr>
                <w:rFonts w:ascii="Times New Roman" w:hAnsi="Times New Roman" w:cs="Times New Roman"/>
                <w:color w:val="000000"/>
              </w:rPr>
              <w:t>liczba procesorów: min 2</w:t>
            </w:r>
          </w:p>
          <w:p w14:paraId="210B7EAD" w14:textId="77777777" w:rsidR="006A1D2F" w:rsidRPr="00350054" w:rsidRDefault="006A1D2F" w:rsidP="006A1D2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0054">
              <w:rPr>
                <w:rFonts w:ascii="Times New Roman" w:hAnsi="Times New Roman" w:cs="Times New Roman"/>
                <w:color w:val="000000"/>
              </w:rPr>
              <w:t>pamięć RAM: min. 192 GB</w:t>
            </w:r>
          </w:p>
          <w:p w14:paraId="51077289" w14:textId="73330B34" w:rsidR="006A1D2F" w:rsidRPr="003D115E" w:rsidRDefault="006A1D2F" w:rsidP="006A1D2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0054">
              <w:rPr>
                <w:rFonts w:ascii="Times New Roman" w:hAnsi="Times New Roman" w:cs="Times New Roman"/>
                <w:color w:val="000000"/>
              </w:rPr>
              <w:t>pojemność macierzy: min. 10 TB na dane (RAID-6)</w:t>
            </w:r>
          </w:p>
          <w:p w14:paraId="0841B0D9" w14:textId="56BCCCDD" w:rsidR="006A1D2F" w:rsidRPr="00350054" w:rsidRDefault="006A1D2F" w:rsidP="006A1D2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3D115E">
              <w:rPr>
                <w:rFonts w:ascii="Times New Roman" w:hAnsi="Times New Roman" w:cs="Times New Roman"/>
                <w:color w:val="000000"/>
                <w:lang w:val="en-US"/>
              </w:rPr>
              <w:t>macierz</w:t>
            </w:r>
            <w:proofErr w:type="spellEnd"/>
            <w:r w:rsidRPr="003D115E">
              <w:rPr>
                <w:rFonts w:ascii="Times New Roman" w:hAnsi="Times New Roman" w:cs="Times New Roman"/>
                <w:color w:val="000000"/>
                <w:lang w:val="en-US"/>
              </w:rPr>
              <w:t xml:space="preserve"> z </w:t>
            </w:r>
            <w:proofErr w:type="spellStart"/>
            <w:r w:rsidRPr="003D115E">
              <w:rPr>
                <w:rFonts w:ascii="Times New Roman" w:hAnsi="Times New Roman" w:cs="Times New Roman"/>
                <w:color w:val="000000"/>
                <w:lang w:val="en-US"/>
              </w:rPr>
              <w:t>użyciem</w:t>
            </w:r>
            <w:proofErr w:type="spellEnd"/>
            <w:r w:rsidRPr="003D115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D115E">
              <w:rPr>
                <w:rFonts w:ascii="Times New Roman" w:hAnsi="Times New Roman" w:cs="Times New Roman"/>
                <w:color w:val="000000"/>
                <w:lang w:val="en-US"/>
              </w:rPr>
              <w:t>dysków</w:t>
            </w:r>
            <w:proofErr w:type="spellEnd"/>
            <w:r w:rsidRPr="003D115E">
              <w:rPr>
                <w:rFonts w:ascii="Times New Roman" w:hAnsi="Times New Roman" w:cs="Times New Roman"/>
                <w:color w:val="000000"/>
                <w:lang w:val="en-US"/>
              </w:rPr>
              <w:t xml:space="preserve"> SSD</w:t>
            </w:r>
          </w:p>
          <w:p w14:paraId="25C1DABF" w14:textId="77777777" w:rsidR="006A1D2F" w:rsidRPr="00350054" w:rsidRDefault="006A1D2F" w:rsidP="006A1D2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0054">
              <w:rPr>
                <w:rFonts w:ascii="Times New Roman" w:hAnsi="Times New Roman" w:cs="Times New Roman"/>
                <w:color w:val="000000"/>
              </w:rPr>
              <w:t>redundantne zasilanie typu Hot-plug</w:t>
            </w:r>
          </w:p>
          <w:p w14:paraId="18F19739" w14:textId="77777777" w:rsidR="006A1D2F" w:rsidRPr="00350054" w:rsidRDefault="006A1D2F" w:rsidP="006A1D2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0054">
              <w:rPr>
                <w:rFonts w:ascii="Times New Roman" w:hAnsi="Times New Roman" w:cs="Times New Roman"/>
                <w:color w:val="000000"/>
              </w:rPr>
              <w:t>napęd optyczny: DVD RW</w:t>
            </w:r>
          </w:p>
          <w:p w14:paraId="07432447" w14:textId="77777777" w:rsidR="006A1D2F" w:rsidRPr="00350054" w:rsidRDefault="006A1D2F" w:rsidP="006A1D2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0054">
              <w:rPr>
                <w:rFonts w:ascii="Times New Roman" w:hAnsi="Times New Roman" w:cs="Times New Roman"/>
                <w:color w:val="000000"/>
              </w:rPr>
              <w:t>klawiatura, mysz</w:t>
            </w:r>
          </w:p>
          <w:p w14:paraId="35D35E9B" w14:textId="77777777" w:rsidR="006A1D2F" w:rsidRPr="00350054" w:rsidRDefault="006A1D2F" w:rsidP="006A1D2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0054">
              <w:rPr>
                <w:rFonts w:ascii="Times New Roman" w:hAnsi="Times New Roman" w:cs="Times New Roman"/>
                <w:color w:val="000000"/>
              </w:rPr>
              <w:t>obudowa serwera do zabudowy w szafie RACK 19 wraz z akcesoriami montażowymi</w:t>
            </w:r>
          </w:p>
          <w:p w14:paraId="08E13D99" w14:textId="77777777" w:rsidR="006A1D2F" w:rsidRPr="00350054" w:rsidRDefault="006A1D2F" w:rsidP="006A1D2F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0054">
              <w:rPr>
                <w:rFonts w:ascii="Times New Roman" w:hAnsi="Times New Roman" w:cs="Times New Roman"/>
                <w:color w:val="000000"/>
              </w:rPr>
              <w:t>możliwość jednoczesnego przetwarzania min. 80 000 warstw</w:t>
            </w:r>
          </w:p>
          <w:p w14:paraId="5CD905E2" w14:textId="4404CF87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50054">
              <w:rPr>
                <w:rFonts w:ascii="Times New Roman" w:hAnsi="Times New Roman" w:cs="Times New Roman"/>
                <w:color w:val="000000"/>
              </w:rPr>
              <w:t>Serwer dedykowany dla min. 6 jednoczesnych</w:t>
            </w:r>
            <w:r>
              <w:rPr>
                <w:rFonts w:ascii="Times New Roman" w:hAnsi="Times New Roman" w:cs="Times New Roman"/>
                <w:color w:val="000000"/>
              </w:rPr>
              <w:t xml:space="preserve"> użytkowników. Opisać zaoferowane rozwiązanie.</w:t>
            </w:r>
          </w:p>
        </w:tc>
        <w:tc>
          <w:tcPr>
            <w:tcW w:w="1560" w:type="dxa"/>
            <w:vAlign w:val="center"/>
          </w:tcPr>
          <w:p w14:paraId="0CC39D79" w14:textId="079A49AF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477CF3CA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FA15524" w14:textId="3BEC5187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41ACCC16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17B1418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9BEA9E5" w14:textId="5A3D3147" w:rsidR="006A1D2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6963">
              <w:rPr>
                <w:rFonts w:ascii="Times New Roman" w:hAnsi="Times New Roman" w:cs="Times New Roman"/>
                <w:color w:val="000000"/>
              </w:rPr>
              <w:t>W przypadku wyboru adaptacji/wykorzystania istniejącego, funkcjonującego u Zamawiającego serwera aplikacyjnego możliwość wykorzystania licencji aplikacji PET/CT/MR posiadanych przez Zamawiającego.</w:t>
            </w:r>
          </w:p>
        </w:tc>
        <w:tc>
          <w:tcPr>
            <w:tcW w:w="1560" w:type="dxa"/>
            <w:vAlign w:val="center"/>
          </w:tcPr>
          <w:p w14:paraId="0288937B" w14:textId="0D78990C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C8E8EA1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4029222" w14:textId="433BF7DA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2443249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ED6958E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934547D" w14:textId="62B834BF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6963">
              <w:rPr>
                <w:rFonts w:ascii="Times New Roman" w:hAnsi="Times New Roman" w:cs="Times New Roman"/>
                <w:color w:val="000000"/>
              </w:rPr>
              <w:t>Adaptacja lub unowocześnienie posiadanych przez zamawiającego stanowisk lekarskich lub dostawa nowych stanowisk lekarskich – 3 szt.</w:t>
            </w:r>
          </w:p>
        </w:tc>
        <w:tc>
          <w:tcPr>
            <w:tcW w:w="1560" w:type="dxa"/>
            <w:vAlign w:val="center"/>
          </w:tcPr>
          <w:p w14:paraId="3799E21A" w14:textId="2AC6B7E2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583DD1C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EC63098" w14:textId="6EA0394A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610E527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12ECB07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B2CBEFD" w14:textId="77777777" w:rsidR="006A1D2F" w:rsidRPr="0035005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50054">
              <w:rPr>
                <w:rFonts w:ascii="Times New Roman" w:hAnsi="Times New Roman" w:cs="Times New Roman"/>
                <w:color w:val="000000"/>
              </w:rPr>
              <w:t>Stanowisko lekarskie trzymonitorowe - konsola kliencka serwera aplikacyjnego, każde wyposażone w:</w:t>
            </w:r>
          </w:p>
          <w:p w14:paraId="3EA7B106" w14:textId="77777777" w:rsidR="006A1D2F" w:rsidRPr="0035005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350054">
              <w:rPr>
                <w:rFonts w:ascii="Times New Roman" w:hAnsi="Times New Roman" w:cs="Times New Roman"/>
                <w:color w:val="000000"/>
              </w:rPr>
              <w:t>2 kolorowe monitory diagnostyczne, każdy o min. przekątnej 24” i rozdzielczości nie mniejszej niż 1920 x 1200 pikseli</w:t>
            </w:r>
          </w:p>
          <w:p w14:paraId="423F0719" w14:textId="77777777" w:rsidR="006A1D2F" w:rsidRPr="0035005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350054">
              <w:rPr>
                <w:rFonts w:ascii="Times New Roman" w:hAnsi="Times New Roman" w:cs="Times New Roman"/>
                <w:color w:val="000000"/>
              </w:rPr>
              <w:t>1 monitor opisowy o min. przekątnej min. 23” i rozdzielczości nie mniejszej niż 2 MP</w:t>
            </w:r>
          </w:p>
          <w:p w14:paraId="7B2F8190" w14:textId="584B9B2E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350054">
              <w:rPr>
                <w:rFonts w:ascii="Times New Roman" w:hAnsi="Times New Roman" w:cs="Times New Roman"/>
                <w:color w:val="000000"/>
              </w:rPr>
              <w:t xml:space="preserve">Komputer PC, wyposażony co najmniej w: min. 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Pr="00350054">
              <w:rPr>
                <w:rFonts w:ascii="Times New Roman" w:hAnsi="Times New Roman" w:cs="Times New Roman"/>
                <w:color w:val="000000"/>
              </w:rPr>
              <w:t xml:space="preserve"> GB RAM, dysk SSD min.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350054">
              <w:rPr>
                <w:rFonts w:ascii="Times New Roman" w:hAnsi="Times New Roman" w:cs="Times New Roman"/>
                <w:color w:val="000000"/>
              </w:rPr>
              <w:t xml:space="preserve">00 GB, interfejs LAN 1 </w:t>
            </w:r>
            <w:proofErr w:type="spellStart"/>
            <w:r w:rsidRPr="00350054">
              <w:rPr>
                <w:rFonts w:ascii="Times New Roman" w:hAnsi="Times New Roman" w:cs="Times New Roman"/>
                <w:color w:val="000000"/>
              </w:rPr>
              <w:t>Gb</w:t>
            </w:r>
            <w:proofErr w:type="spellEnd"/>
            <w:r w:rsidRPr="00350054">
              <w:rPr>
                <w:rFonts w:ascii="Times New Roman" w:hAnsi="Times New Roman" w:cs="Times New Roman"/>
                <w:color w:val="000000"/>
              </w:rPr>
              <w:t>, wbudowany czytnik płyt CD/DVD, system operacyjny aktualnie wspierany przez jego producenta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688A7017" w14:textId="5626A4AE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21FB14A0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852F1AD" w14:textId="13C2B695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56A8822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D7F5AAD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9C693D0" w14:textId="46220906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93699">
              <w:rPr>
                <w:rFonts w:ascii="Times New Roman" w:hAnsi="Times New Roman" w:cs="Times New Roman"/>
                <w:color w:val="000000"/>
              </w:rPr>
              <w:t xml:space="preserve">Dostawa aplikacji podstawowych i zaawansowanych w oparciu o model pływających licencji. Zainstalowanie oprogramowania klienckiego na </w:t>
            </w:r>
            <w:r w:rsidRPr="00C93699">
              <w:rPr>
                <w:rFonts w:ascii="Times New Roman" w:hAnsi="Times New Roman" w:cs="Times New Roman"/>
                <w:color w:val="000000"/>
              </w:rPr>
              <w:lastRenderedPageBreak/>
              <w:t>wszystkich stanowiskach lekarskich. Możliwość zainstalowania oprogramowania klienckiego na dowolnej ilości stanowisk lekarskich, z natychmiastową dostępnością do dowolnego badania i dowolnej aplikacji. Wszystkie dostarczone aplikacje są bezterminowe.</w:t>
            </w:r>
          </w:p>
        </w:tc>
        <w:tc>
          <w:tcPr>
            <w:tcW w:w="1560" w:type="dxa"/>
            <w:vAlign w:val="center"/>
          </w:tcPr>
          <w:p w14:paraId="72215ADE" w14:textId="22C11189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TAK</w:t>
            </w:r>
          </w:p>
        </w:tc>
        <w:tc>
          <w:tcPr>
            <w:tcW w:w="3269" w:type="dxa"/>
            <w:vAlign w:val="center"/>
          </w:tcPr>
          <w:p w14:paraId="04A7DB5B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696EA55" w14:textId="74007DD5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5E9183B9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9966372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971CC41" w14:textId="67C0428A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93699">
              <w:rPr>
                <w:rFonts w:ascii="Times New Roman" w:hAnsi="Times New Roman" w:cs="Times New Roman"/>
                <w:color w:val="000000"/>
              </w:rPr>
              <w:t>Automatyczny/ręczny import poprzednich badań tego samego pacjenta z archiwum PACS.</w:t>
            </w:r>
            <w:r>
              <w:rPr>
                <w:rFonts w:ascii="Times New Roman" w:hAnsi="Times New Roman" w:cs="Times New Roman"/>
                <w:color w:val="000000"/>
              </w:rPr>
              <w:t xml:space="preserve"> Podać typ importu.</w:t>
            </w:r>
          </w:p>
        </w:tc>
        <w:tc>
          <w:tcPr>
            <w:tcW w:w="1560" w:type="dxa"/>
            <w:vAlign w:val="center"/>
          </w:tcPr>
          <w:p w14:paraId="5DB5AA29" w14:textId="55C58E8F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1D4DCADA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C6BCC82" w14:textId="51E853C2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6EE1B5D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A69C4E3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6B2FB14" w14:textId="3F4DBF72" w:rsidR="006A1D2F" w:rsidRPr="007E0A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295">
              <w:rPr>
                <w:rFonts w:ascii="Times New Roman" w:hAnsi="Times New Roman" w:cs="Times New Roman"/>
                <w:color w:val="000000"/>
              </w:rPr>
              <w:t>Wsparcie techniczne w zakresie serwera aplikacyjnego obejmujące aktualizacje oprogramowania diagnostycznego (update/</w:t>
            </w:r>
            <w:proofErr w:type="spellStart"/>
            <w:r w:rsidRPr="00996295">
              <w:rPr>
                <w:rFonts w:ascii="Times New Roman" w:hAnsi="Times New Roman" w:cs="Times New Roman"/>
                <w:color w:val="000000"/>
              </w:rPr>
              <w:t>hotfix</w:t>
            </w:r>
            <w:proofErr w:type="spellEnd"/>
            <w:r w:rsidRPr="00996295">
              <w:rPr>
                <w:rFonts w:ascii="Times New Roman" w:hAnsi="Times New Roman" w:cs="Times New Roman"/>
                <w:color w:val="000000"/>
              </w:rPr>
              <w:t>) i modernizacje oprogramowania diagnostycznego (</w:t>
            </w:r>
            <w:proofErr w:type="spellStart"/>
            <w:r w:rsidRPr="00996295">
              <w:rPr>
                <w:rFonts w:ascii="Times New Roman" w:hAnsi="Times New Roman" w:cs="Times New Roman"/>
                <w:color w:val="000000"/>
              </w:rPr>
              <w:t>upgrady</w:t>
            </w:r>
            <w:proofErr w:type="spellEnd"/>
            <w:r w:rsidRPr="00996295">
              <w:rPr>
                <w:rFonts w:ascii="Times New Roman" w:hAnsi="Times New Roman" w:cs="Times New Roman"/>
                <w:color w:val="000000"/>
              </w:rPr>
              <w:t xml:space="preserve"> do najnowszej i aktualnej wersji oprogramowania).</w:t>
            </w:r>
          </w:p>
        </w:tc>
        <w:tc>
          <w:tcPr>
            <w:tcW w:w="1560" w:type="dxa"/>
            <w:vAlign w:val="center"/>
          </w:tcPr>
          <w:p w14:paraId="6B56F419" w14:textId="0A5F2982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1DF4804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DDA6857" w14:textId="58E20B39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14E8D4D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F772AA6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2D8EC03" w14:textId="77777777" w:rsidR="006A1D2F" w:rsidRPr="007E0A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E0A4D">
              <w:rPr>
                <w:rFonts w:ascii="Times New Roman" w:hAnsi="Times New Roman" w:cs="Times New Roman"/>
                <w:color w:val="000000"/>
              </w:rPr>
              <w:t>Interfejs sieciowy w formacie DICOM 3.0. z co najmniej następującymi funkcjami:</w:t>
            </w:r>
          </w:p>
          <w:p w14:paraId="46E2EF87" w14:textId="77777777" w:rsidR="006A1D2F" w:rsidRPr="007E0A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E0A4D">
              <w:rPr>
                <w:rFonts w:ascii="Times New Roman" w:hAnsi="Times New Roman" w:cs="Times New Roman"/>
                <w:color w:val="000000"/>
              </w:rPr>
              <w:t xml:space="preserve">- DICOM </w:t>
            </w:r>
            <w:proofErr w:type="spellStart"/>
            <w:r w:rsidRPr="007E0A4D">
              <w:rPr>
                <w:rFonts w:ascii="Times New Roman" w:hAnsi="Times New Roman" w:cs="Times New Roman"/>
                <w:color w:val="000000"/>
              </w:rPr>
              <w:t>Print</w:t>
            </w:r>
            <w:proofErr w:type="spellEnd"/>
            <w:r w:rsidRPr="007E0A4D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0B0BEFFA" w14:textId="77777777" w:rsidR="006A1D2F" w:rsidRPr="007E0A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E0A4D">
              <w:rPr>
                <w:rFonts w:ascii="Times New Roman" w:hAnsi="Times New Roman" w:cs="Times New Roman"/>
                <w:color w:val="000000"/>
              </w:rPr>
              <w:t xml:space="preserve">- DICOM Storage </w:t>
            </w:r>
            <w:proofErr w:type="spellStart"/>
            <w:r w:rsidRPr="007E0A4D">
              <w:rPr>
                <w:rFonts w:ascii="Times New Roman" w:hAnsi="Times New Roman" w:cs="Times New Roman"/>
                <w:color w:val="000000"/>
              </w:rPr>
              <w:t>Commitment</w:t>
            </w:r>
            <w:proofErr w:type="spellEnd"/>
            <w:r w:rsidRPr="007E0A4D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64020CCE" w14:textId="77777777" w:rsidR="006A1D2F" w:rsidRPr="007E0A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E0A4D">
              <w:rPr>
                <w:rFonts w:ascii="Times New Roman" w:hAnsi="Times New Roman" w:cs="Times New Roman"/>
                <w:color w:val="000000"/>
              </w:rPr>
              <w:t xml:space="preserve">- DICOM </w:t>
            </w:r>
            <w:proofErr w:type="spellStart"/>
            <w:r w:rsidRPr="007E0A4D">
              <w:rPr>
                <w:rFonts w:ascii="Times New Roman" w:hAnsi="Times New Roman" w:cs="Times New Roman"/>
                <w:color w:val="000000"/>
              </w:rPr>
              <w:t>Send</w:t>
            </w:r>
            <w:proofErr w:type="spellEnd"/>
            <w:r w:rsidRPr="007E0A4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7E0A4D">
              <w:rPr>
                <w:rFonts w:ascii="Times New Roman" w:hAnsi="Times New Roman" w:cs="Times New Roman"/>
                <w:color w:val="000000"/>
              </w:rPr>
              <w:t>Receive</w:t>
            </w:r>
            <w:proofErr w:type="spellEnd"/>
            <w:r w:rsidRPr="007E0A4D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69ABDEFF" w14:textId="3DB22383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E0A4D">
              <w:rPr>
                <w:rFonts w:ascii="Times New Roman" w:hAnsi="Times New Roman" w:cs="Times New Roman"/>
                <w:color w:val="000000"/>
              </w:rPr>
              <w:t>- DICOM Query/</w:t>
            </w:r>
            <w:proofErr w:type="spellStart"/>
            <w:r w:rsidRPr="007E0A4D">
              <w:rPr>
                <w:rFonts w:ascii="Times New Roman" w:hAnsi="Times New Roman" w:cs="Times New Roman"/>
                <w:color w:val="000000"/>
              </w:rPr>
              <w:t>Retrieve</w:t>
            </w:r>
            <w:proofErr w:type="spellEnd"/>
            <w:r w:rsidRPr="007E0A4D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1560" w:type="dxa"/>
            <w:vAlign w:val="center"/>
          </w:tcPr>
          <w:p w14:paraId="0196BB6D" w14:textId="760928E9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EA0EF76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F0F3172" w14:textId="72D56A10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67DCEF55" w14:textId="77777777" w:rsidTr="00F709A8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534ABE1" w14:textId="77777777" w:rsidR="006A1D2F" w:rsidRPr="000353C4" w:rsidRDefault="006A1D2F" w:rsidP="006A1D2F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shd w:val="clear" w:color="auto" w:fill="auto"/>
            <w:vAlign w:val="center"/>
          </w:tcPr>
          <w:p w14:paraId="172454FB" w14:textId="73EC740F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5E57">
              <w:rPr>
                <w:rFonts w:ascii="Times New Roman" w:hAnsi="Times New Roman" w:cs="Times New Roman"/>
                <w:b/>
              </w:rPr>
              <w:t>Stanowiska lekarskie</w:t>
            </w:r>
            <w:r>
              <w:rPr>
                <w:rFonts w:ascii="Times New Roman" w:hAnsi="Times New Roman" w:cs="Times New Roman"/>
                <w:b/>
              </w:rPr>
              <w:t xml:space="preserve"> – podstawowe oprogramowanie kliniczne</w:t>
            </w:r>
          </w:p>
        </w:tc>
      </w:tr>
      <w:tr w:rsidR="006A1D2F" w:rsidRPr="000353C4" w14:paraId="0DD553B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1D67B07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C3A8BA4" w14:textId="240C82C1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Podstawowe oprogramowanie kliniczne dostępne i możliwe do pełnego wykorzystania jednoczasowo na wszystkich dostarczonych stacjach lekarskich.</w:t>
            </w:r>
          </w:p>
        </w:tc>
        <w:tc>
          <w:tcPr>
            <w:tcW w:w="1560" w:type="dxa"/>
            <w:vAlign w:val="center"/>
          </w:tcPr>
          <w:p w14:paraId="2D0BF316" w14:textId="0F00DCBD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3E796B09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30BFC27" w14:textId="0052D849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0493633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BFA3EE5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05A3ED8" w14:textId="77777777" w:rsidR="006A1D2F" w:rsidRPr="0079479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4794">
              <w:rPr>
                <w:rFonts w:ascii="Times New Roman" w:hAnsi="Times New Roman" w:cs="Times New Roman"/>
                <w:color w:val="000000"/>
              </w:rPr>
              <w:t>Zestaw predefiniowanych układów wyświetlania (layoutów), skojarzony z zastosowaną aplikacją, np. onkologiczna/naczyniowa. Szybkie przełączanie pomiędzy predefiniowanymi układami wyświetlania: badania bieżące (1 punkt czasowy), porównawcze (2,3,4 punkty czasowe) , wielofazowe.</w:t>
            </w:r>
          </w:p>
          <w:p w14:paraId="41299C11" w14:textId="77777777" w:rsidR="006A1D2F" w:rsidRPr="00794794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4794">
              <w:rPr>
                <w:rFonts w:ascii="Times New Roman" w:hAnsi="Times New Roman" w:cs="Times New Roman"/>
                <w:color w:val="000000"/>
              </w:rPr>
              <w:t>Możliwość indywidualnego dopasowania układów wyświetlania przez każdego użytkownika, z możliwością zapamiętania.</w:t>
            </w:r>
          </w:p>
          <w:p w14:paraId="5A4BAABC" w14:textId="74550978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94794">
              <w:rPr>
                <w:rFonts w:ascii="Times New Roman" w:hAnsi="Times New Roman" w:cs="Times New Roman"/>
                <w:color w:val="000000"/>
              </w:rPr>
              <w:t>Automatyczne dopasowania układów wyświetlania do ilości oraz typu dołączonych do stacji lekarskiej monitorów diagnostycznych.</w:t>
            </w:r>
          </w:p>
        </w:tc>
        <w:tc>
          <w:tcPr>
            <w:tcW w:w="1560" w:type="dxa"/>
            <w:vAlign w:val="center"/>
          </w:tcPr>
          <w:p w14:paraId="23E1DC72" w14:textId="7D5943DD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2AD2B557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0839FB9" w14:textId="05400E5D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6D4CF766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552C559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339FEA4" w14:textId="77777777" w:rsidR="006A1D2F" w:rsidRPr="000B3152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152">
              <w:rPr>
                <w:rFonts w:ascii="Times New Roman" w:hAnsi="Times New Roman" w:cs="Times New Roman"/>
                <w:color w:val="000000"/>
              </w:rPr>
              <w:t>Jednoczesna prezentacja i odczyt, z synchronizacją przestrzenną, danych obrazowych SPECT-CT, CT, MR, PET-CT.</w:t>
            </w:r>
          </w:p>
          <w:p w14:paraId="7369A4EC" w14:textId="02EA97C6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152">
              <w:rPr>
                <w:rFonts w:ascii="Times New Roman" w:hAnsi="Times New Roman" w:cs="Times New Roman"/>
                <w:color w:val="000000"/>
              </w:rPr>
              <w:t>Automatyczna synchronizacja wyświetlanych serii badania niezależna od grubości warstw.</w:t>
            </w:r>
          </w:p>
        </w:tc>
        <w:tc>
          <w:tcPr>
            <w:tcW w:w="1560" w:type="dxa"/>
            <w:vAlign w:val="center"/>
          </w:tcPr>
          <w:p w14:paraId="36E8D76A" w14:textId="7CCD3143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1D9CC3B8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20D24E4" w14:textId="0573AEDA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2680CB1B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CBBE337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F0882D6" w14:textId="651FD0F2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05841">
              <w:rPr>
                <w:rFonts w:ascii="Times New Roman" w:hAnsi="Times New Roman" w:cs="Times New Roman"/>
                <w:color w:val="000000"/>
              </w:rPr>
              <w:t>Możliwość jednoczesnej edycji badań min. 4 różnych pacjentów. Przełączanie pomiędzy badaniami różnych pacjentów nie wymagające zamykania załadowanych badań.</w:t>
            </w:r>
          </w:p>
        </w:tc>
        <w:tc>
          <w:tcPr>
            <w:tcW w:w="1560" w:type="dxa"/>
            <w:vAlign w:val="center"/>
          </w:tcPr>
          <w:p w14:paraId="548FF4A7" w14:textId="109FBF11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31A98B40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04FF542" w14:textId="3A0BD591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114F9424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5FC9464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5D5820B" w14:textId="30040327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05841">
              <w:rPr>
                <w:rFonts w:ascii="Times New Roman" w:hAnsi="Times New Roman" w:cs="Times New Roman"/>
                <w:color w:val="000000"/>
              </w:rPr>
              <w:t>Pomiary geometryczne (długości, kątów, powierzchni)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5AEA9EEF" w14:textId="24F9C736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5E026D7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33EF526" w14:textId="730CFE5B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20B1E3C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4F2DAAF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3BC287D" w14:textId="733DEC11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05841">
              <w:rPr>
                <w:rFonts w:ascii="Times New Roman" w:hAnsi="Times New Roman" w:cs="Times New Roman"/>
                <w:color w:val="000000"/>
              </w:rPr>
              <w:t>Elementy manipulacji obrazem (m. in. przedstawienie w negatywie, obrót obrazu i odbicia lustrzane, powiększenie obrazu, dodawanie obrazów).</w:t>
            </w:r>
          </w:p>
        </w:tc>
        <w:tc>
          <w:tcPr>
            <w:tcW w:w="1560" w:type="dxa"/>
            <w:vAlign w:val="center"/>
          </w:tcPr>
          <w:p w14:paraId="446A3719" w14:textId="299633C6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9D0A54E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4627868" w14:textId="5486CB5D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5C432CF1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37D2E40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46433FA" w14:textId="5FFE3E1A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05841">
              <w:rPr>
                <w:rFonts w:ascii="Times New Roman" w:hAnsi="Times New Roman" w:cs="Times New Roman"/>
                <w:color w:val="000000"/>
              </w:rPr>
              <w:t>Automatyczne tworzenie listy zaznaczeń i pomiarów (znalezisk) wykonywanych w trakcie analizy z możliwością automatycznego (bez przewijania obrazów) wywołania sekwencji obrazów odpowiadającej wybranemu zaznaczeniu lub pomiarowi z utworzonej listy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232AD8C9" w14:textId="37A145BD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DCB5E20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DE6D9ED" w14:textId="5234949D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246C96A9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7F9F555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B45613F" w14:textId="4B2ACBD5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05841">
              <w:rPr>
                <w:rFonts w:ascii="Times New Roman" w:hAnsi="Times New Roman" w:cs="Times New Roman"/>
                <w:color w:val="000000"/>
              </w:rPr>
              <w:t xml:space="preserve">Automatyczne usuwanie struktur kostnych z pozostawieniem wyłącznie </w:t>
            </w:r>
            <w:proofErr w:type="spellStart"/>
            <w:r w:rsidRPr="00D05841">
              <w:rPr>
                <w:rFonts w:ascii="Times New Roman" w:hAnsi="Times New Roman" w:cs="Times New Roman"/>
                <w:color w:val="000000"/>
              </w:rPr>
              <w:t>zakontrastowanego</w:t>
            </w:r>
            <w:proofErr w:type="spellEnd"/>
            <w:r w:rsidRPr="00D05841">
              <w:rPr>
                <w:rFonts w:ascii="Times New Roman" w:hAnsi="Times New Roman" w:cs="Times New Roman"/>
                <w:color w:val="000000"/>
              </w:rPr>
              <w:t xml:space="preserve"> drzewa naczyniowego w badaniach CT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4FB07D89" w14:textId="43DA7BAD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0CCCDD5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C012EC9" w14:textId="4207915C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6C390A3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4DC895D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4B8EA8EC" w14:textId="12708D4F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05841">
              <w:rPr>
                <w:rFonts w:ascii="Times New Roman" w:hAnsi="Times New Roman" w:cs="Times New Roman"/>
                <w:color w:val="000000"/>
              </w:rPr>
              <w:t>Automatyczne usuwania obrazu stołu z obrazów CT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3AF3548E" w14:textId="02E9D995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3FF97DD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F71CFAE" w14:textId="376057DF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44F31D5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62D377D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FB68B02" w14:textId="738475E0" w:rsidR="006A1D2F" w:rsidRPr="00D05841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4226E">
              <w:rPr>
                <w:rFonts w:ascii="Times New Roman" w:hAnsi="Times New Roman" w:cs="Times New Roman"/>
                <w:color w:val="000000"/>
              </w:rPr>
              <w:t>Automatyczne, bazujące na algorytmach AI, numerowanie żeber w badaniach CT, PET/CT.</w:t>
            </w:r>
          </w:p>
        </w:tc>
        <w:tc>
          <w:tcPr>
            <w:tcW w:w="1560" w:type="dxa"/>
            <w:vAlign w:val="center"/>
          </w:tcPr>
          <w:p w14:paraId="38FF98FA" w14:textId="6A79DCC1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09C9313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1C31B17" w14:textId="0617DCDC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483D23F0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34AEA07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047B185" w14:textId="77777777" w:rsidR="006A1D2F" w:rsidRPr="00D05841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05841">
              <w:rPr>
                <w:rFonts w:ascii="Times New Roman" w:hAnsi="Times New Roman" w:cs="Times New Roman"/>
                <w:color w:val="000000"/>
              </w:rPr>
              <w:t>Rekonstrukcje MIP, VRT.</w:t>
            </w:r>
          </w:p>
          <w:p w14:paraId="4C00F1F9" w14:textId="5971F71C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05841">
              <w:rPr>
                <w:rFonts w:ascii="Times New Roman" w:hAnsi="Times New Roman" w:cs="Times New Roman"/>
                <w:color w:val="000000"/>
              </w:rPr>
              <w:t>Predefiniowana paleta ustawień dla rekonstrukcji VRT uwzględniająca typy badań, obszary anatomiczne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5B4FB8B8" w14:textId="0421C511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C6E4DD4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EAC6F78" w14:textId="5C80850A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0AC07206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C9883C1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617B245" w14:textId="3602BC1B" w:rsidR="006A1D2F" w:rsidRPr="0074226E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4226E">
              <w:rPr>
                <w:rFonts w:ascii="Times New Roman" w:hAnsi="Times New Roman" w:cs="Times New Roman"/>
                <w:color w:val="000000"/>
              </w:rPr>
              <w:t xml:space="preserve">Rekonstrukcje 3D typu </w:t>
            </w:r>
            <w:proofErr w:type="spellStart"/>
            <w:r w:rsidRPr="0074226E">
              <w:rPr>
                <w:rFonts w:ascii="Times New Roman" w:hAnsi="Times New Roman" w:cs="Times New Roman"/>
                <w:color w:val="000000"/>
              </w:rPr>
              <w:t>Cinematic</w:t>
            </w:r>
            <w:proofErr w:type="spellEnd"/>
            <w:r w:rsidRPr="0074226E">
              <w:rPr>
                <w:rFonts w:ascii="Times New Roman" w:hAnsi="Times New Roman" w:cs="Times New Roman"/>
                <w:color w:val="000000"/>
              </w:rPr>
              <w:t xml:space="preserve"> Rendering, bazujące na dokładnej fizycznej symulacji oddziaływania światła z materią, realizujące </w:t>
            </w:r>
            <w:proofErr w:type="spellStart"/>
            <w:r w:rsidRPr="0074226E">
              <w:rPr>
                <w:rFonts w:ascii="Times New Roman" w:hAnsi="Times New Roman" w:cs="Times New Roman"/>
                <w:color w:val="000000"/>
              </w:rPr>
              <w:t>fotorealistyczny</w:t>
            </w:r>
            <w:proofErr w:type="spellEnd"/>
            <w:r w:rsidRPr="0074226E">
              <w:rPr>
                <w:rFonts w:ascii="Times New Roman" w:hAnsi="Times New Roman" w:cs="Times New Roman"/>
                <w:color w:val="000000"/>
              </w:rPr>
              <w:t xml:space="preserve"> rendering kształtów z uwzględnieniem rozpraszania fotonów światła, propagacji światła, interakcji światła z materią, głębokości (cieni), możliwe do otrzymania dla każdego badania CT, MR w formacie DICOM dostępnego na serwerze aplikacyjnym.</w:t>
            </w:r>
          </w:p>
          <w:p w14:paraId="761EBC55" w14:textId="77777777" w:rsidR="006A1D2F" w:rsidRPr="0074226E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4226E">
              <w:rPr>
                <w:rFonts w:ascii="Times New Roman" w:hAnsi="Times New Roman" w:cs="Times New Roman"/>
                <w:color w:val="000000"/>
              </w:rPr>
              <w:t>Technika stosująca:</w:t>
            </w:r>
          </w:p>
          <w:p w14:paraId="142BFCB9" w14:textId="77777777" w:rsidR="006A1D2F" w:rsidRPr="0074226E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4226E">
              <w:rPr>
                <w:rFonts w:ascii="Times New Roman" w:hAnsi="Times New Roman" w:cs="Times New Roman"/>
                <w:color w:val="000000"/>
              </w:rPr>
              <w:t>oświetlanie każdego piksela bardzo dużą ilością źródeł światła z dowolnego kierunku,</w:t>
            </w:r>
          </w:p>
          <w:p w14:paraId="768AF1C9" w14:textId="77777777" w:rsidR="006A1D2F" w:rsidRPr="0074226E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4226E">
              <w:rPr>
                <w:rFonts w:ascii="Times New Roman" w:hAnsi="Times New Roman" w:cs="Times New Roman"/>
                <w:color w:val="000000"/>
              </w:rPr>
              <w:t>rozpraszanie/pochłanianie fotonów,</w:t>
            </w:r>
          </w:p>
          <w:p w14:paraId="32036D96" w14:textId="226F4808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4226E">
              <w:rPr>
                <w:rFonts w:ascii="Times New Roman" w:hAnsi="Times New Roman" w:cs="Times New Roman"/>
                <w:color w:val="000000"/>
              </w:rPr>
              <w:t>al</w:t>
            </w:r>
            <w:r>
              <w:rPr>
                <w:rFonts w:ascii="Times New Roman" w:hAnsi="Times New Roman" w:cs="Times New Roman"/>
                <w:color w:val="000000"/>
              </w:rPr>
              <w:t>gorytmy numeryczne Monte Carlo.</w:t>
            </w:r>
          </w:p>
        </w:tc>
        <w:tc>
          <w:tcPr>
            <w:tcW w:w="1560" w:type="dxa"/>
            <w:vAlign w:val="center"/>
          </w:tcPr>
          <w:p w14:paraId="488FF1AD" w14:textId="0DC0447D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5537600D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86CA345" w14:textId="497CB569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508302C1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3E30F7F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8D64146" w14:textId="19F79190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5841">
              <w:rPr>
                <w:rFonts w:ascii="Times New Roman" w:hAnsi="Times New Roman" w:cs="Times New Roman"/>
                <w:color w:val="000000"/>
              </w:rPr>
              <w:t>Reformatowanie</w:t>
            </w:r>
            <w:proofErr w:type="spellEnd"/>
            <w:r w:rsidRPr="00D05841">
              <w:rPr>
                <w:rFonts w:ascii="Times New Roman" w:hAnsi="Times New Roman" w:cs="Times New Roman"/>
                <w:color w:val="000000"/>
              </w:rPr>
              <w:t xml:space="preserve"> wielopłaszczyznowe (MPR), rekonstrukcje wzdłuż dowolnej prostej (równoległe lub promieniste) lub krzywej.</w:t>
            </w:r>
          </w:p>
        </w:tc>
        <w:tc>
          <w:tcPr>
            <w:tcW w:w="1560" w:type="dxa"/>
            <w:vAlign w:val="center"/>
          </w:tcPr>
          <w:p w14:paraId="1E92CE82" w14:textId="4997FB4F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1090DEC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367CF28" w14:textId="504862BF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1902FF73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D0D8785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B14D841" w14:textId="5C80DDF6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05841">
              <w:rPr>
                <w:rFonts w:ascii="Times New Roman" w:hAnsi="Times New Roman" w:cs="Times New Roman"/>
                <w:color w:val="000000"/>
              </w:rPr>
              <w:t>Podstawowa kwantyfikacja PET i SPECT, łącznie z pomiarem SUV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09B8EE6A" w14:textId="56D0152F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69EFFD9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CC9E92B" w14:textId="04011EEB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69D93DDD" w14:textId="77777777" w:rsidTr="00F709A8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30E96C0" w14:textId="77777777" w:rsidR="006A1D2F" w:rsidRPr="000353C4" w:rsidRDefault="006A1D2F" w:rsidP="006A1D2F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shd w:val="clear" w:color="auto" w:fill="auto"/>
            <w:vAlign w:val="center"/>
          </w:tcPr>
          <w:p w14:paraId="2A646DE9" w14:textId="054F175D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80">
              <w:rPr>
                <w:rFonts w:ascii="Times New Roman" w:hAnsi="Times New Roman" w:cs="Times New Roman"/>
                <w:b/>
              </w:rPr>
              <w:t xml:space="preserve">Stanowiska lekarskie – </w:t>
            </w:r>
            <w:r>
              <w:rPr>
                <w:rFonts w:ascii="Times New Roman" w:hAnsi="Times New Roman" w:cs="Times New Roman"/>
                <w:b/>
              </w:rPr>
              <w:t>zaawansowane</w:t>
            </w:r>
            <w:r w:rsidRPr="00FE0080">
              <w:rPr>
                <w:rFonts w:ascii="Times New Roman" w:hAnsi="Times New Roman" w:cs="Times New Roman"/>
                <w:b/>
              </w:rPr>
              <w:t xml:space="preserve"> oprogramowanie kliniczne</w:t>
            </w:r>
          </w:p>
        </w:tc>
      </w:tr>
      <w:tr w:rsidR="006A1D2F" w:rsidRPr="000353C4" w14:paraId="1B39282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E27264B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4EF4F15F" w14:textId="128FCD30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Zaawansowane oprogramowanie kliniczne dostępne i możliwe do pełnego wykorzystania jednoczasowo zgodnie z ilością zakupionych licencji.</w:t>
            </w:r>
          </w:p>
        </w:tc>
        <w:tc>
          <w:tcPr>
            <w:tcW w:w="1560" w:type="dxa"/>
            <w:vAlign w:val="center"/>
          </w:tcPr>
          <w:p w14:paraId="25DCB975" w14:textId="31BF5FB6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FC37F38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9F44649" w14:textId="46361F1B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26ABD91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96D20EE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05837C0" w14:textId="77777777" w:rsidR="006A1D2F" w:rsidRPr="00AD6A7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D6A7F">
              <w:rPr>
                <w:rFonts w:ascii="Times New Roman" w:hAnsi="Times New Roman" w:cs="Times New Roman"/>
                <w:color w:val="000000"/>
              </w:rPr>
              <w:t xml:space="preserve">Możliwość załadowania i porównania, co najmniej 4 zestawów danych tego samego pacjenta (np.: w celu porównania badań wykonanych w tym samym dniu w różnych fazach lub porównanie badań wykonanych w rożnym czasie) z automatyczną </w:t>
            </w:r>
            <w:r w:rsidRPr="00AD6A7F">
              <w:rPr>
                <w:rFonts w:ascii="Times New Roman" w:hAnsi="Times New Roman" w:cs="Times New Roman"/>
                <w:color w:val="000000"/>
              </w:rPr>
              <w:lastRenderedPageBreak/>
              <w:t>synchronizacją przestrzenną oraz możliwością powiązania i oceny zmian tych samych obszarów anatomicznych w czasie.</w:t>
            </w:r>
          </w:p>
          <w:p w14:paraId="4A9534DC" w14:textId="635F9797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D6A7F">
              <w:rPr>
                <w:rFonts w:ascii="Times New Roman" w:hAnsi="Times New Roman" w:cs="Times New Roman"/>
                <w:color w:val="000000"/>
              </w:rPr>
              <w:t>Licencje dla min. 6 jednoczesnych użytkowników.</w:t>
            </w:r>
            <w:r>
              <w:rPr>
                <w:rFonts w:ascii="Times New Roman" w:hAnsi="Times New Roman" w:cs="Times New Roman"/>
                <w:color w:val="000000"/>
              </w:rPr>
              <w:t xml:space="preserve"> Podać nazwę licencji i opisać.</w:t>
            </w:r>
          </w:p>
        </w:tc>
        <w:tc>
          <w:tcPr>
            <w:tcW w:w="1560" w:type="dxa"/>
            <w:vAlign w:val="center"/>
          </w:tcPr>
          <w:p w14:paraId="5919B310" w14:textId="654769B3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TAK, opisać</w:t>
            </w:r>
          </w:p>
        </w:tc>
        <w:tc>
          <w:tcPr>
            <w:tcW w:w="3269" w:type="dxa"/>
            <w:vAlign w:val="center"/>
          </w:tcPr>
          <w:p w14:paraId="49F7502B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FCB55EB" w14:textId="25542102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644AF02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03E5E60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12AD583" w14:textId="4112CD18" w:rsidR="006A1D2F" w:rsidRPr="00E27087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7087">
              <w:rPr>
                <w:rFonts w:ascii="Times New Roman" w:hAnsi="Times New Roman" w:cs="Times New Roman"/>
                <w:color w:val="000000"/>
              </w:rPr>
              <w:t>Oprogramowanie do automatycznej segmentacji i prezentacji w 3D zmian w badaniach CT w narządach miąższowych, w tym w wątrobie, płucach oraz węzłach chłonnych wraz z automatycznym pomiarem zmiany zgodnie z RECIST 1.1, WHO i jej objętości.</w:t>
            </w:r>
          </w:p>
          <w:p w14:paraId="634DA9DA" w14:textId="77777777" w:rsidR="006A1D2F" w:rsidRPr="00E27087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7087">
              <w:rPr>
                <w:rFonts w:ascii="Times New Roman" w:hAnsi="Times New Roman" w:cs="Times New Roman"/>
                <w:color w:val="000000"/>
              </w:rPr>
              <w:t>Licencje dla min. 3 jednoczesnych użytkowników.</w:t>
            </w:r>
          </w:p>
          <w:p w14:paraId="73B73CF3" w14:textId="4E0F5404" w:rsidR="006A1D2F" w:rsidRPr="00AD6A7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57AA1955" w14:textId="39F0CBF9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39ABF0D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2A02226" w14:textId="2783072B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1A76602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DB4F64B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EC5C97B" w14:textId="50562486" w:rsidR="006A1D2F" w:rsidRPr="00E27087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7087">
              <w:rPr>
                <w:rFonts w:ascii="Times New Roman" w:hAnsi="Times New Roman" w:cs="Times New Roman"/>
                <w:color w:val="000000"/>
              </w:rPr>
              <w:t>Dedykowane (odrębne) algorytmy do segmentacji zmian w płucach, wątrobie oraz węzłach chłonnych</w:t>
            </w:r>
          </w:p>
          <w:p w14:paraId="54CF1A45" w14:textId="77777777" w:rsidR="006A1D2F" w:rsidRPr="00E27087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7087">
              <w:rPr>
                <w:rFonts w:ascii="Times New Roman" w:hAnsi="Times New Roman" w:cs="Times New Roman"/>
                <w:color w:val="000000"/>
              </w:rPr>
              <w:t>Licencje dla min. 3 jednoczesnych użytkowników.</w:t>
            </w:r>
          </w:p>
          <w:p w14:paraId="7259498D" w14:textId="640E5E0D" w:rsidR="006A1D2F" w:rsidRPr="00AD6A7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666789CD" w14:textId="05940F45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D1E66C0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2588F19" w14:textId="68B6D45C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36DCD877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8CBBE99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C4F1BE3" w14:textId="081F13BC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Aplikacja dla szybkiej i dokładnej oceny badań onkologicznych oraz wsparcia dla wykonywania zabiegów chirurgii klatki piersiowej, obejmująca w obrębie jednej dedykowanej aplikacji klinicznej następujące etapy oceny:</w:t>
            </w:r>
          </w:p>
          <w:p w14:paraId="61EDBB04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ocena ogólna wraz z dedykowanymi protokołami wyświetlania dla różnych części ciała (min. głowa, klatka, kończyny),</w:t>
            </w:r>
          </w:p>
          <w:p w14:paraId="782C6357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ocena naczyniowa wraz z rozwijaniem naczyń po prostej,</w:t>
            </w:r>
          </w:p>
          <w:p w14:paraId="59EBE71B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ocena kostna z możliwością obracania żeber, rozwinięciem struktury kostnej klatki piersiowej tj. żeber i kręgosłupa na płaszczyźnie oraz ich automatycznym etykietowaniem we wszystkich widokach MPR,</w:t>
            </w:r>
          </w:p>
          <w:p w14:paraId="4A0DE33B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ocena kręgosłupa z automatycznym wyznaczaniem linii centralnej rdzenia kręgowego, przeglądaniem w płaszczyznach prostopadłych do osi kręgosłupa.</w:t>
            </w:r>
          </w:p>
          <w:p w14:paraId="11D321E8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Licencje dla min. 2 jednoczesnych użytkowników.</w:t>
            </w:r>
          </w:p>
          <w:p w14:paraId="4B5BC69A" w14:textId="0B0B6EC4" w:rsidR="006A1D2F" w:rsidRPr="00E27087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1ADEF124" w14:textId="13EC7D59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5D5BAD5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36D6588" w14:textId="48FDC229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75501BC6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9B4DE9D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7259B070" w14:textId="0499AE67" w:rsidR="006A1D2F" w:rsidRPr="00AD6A7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D6A7F">
              <w:rPr>
                <w:rFonts w:ascii="Times New Roman" w:hAnsi="Times New Roman" w:cs="Times New Roman"/>
                <w:color w:val="000000"/>
              </w:rPr>
              <w:t xml:space="preserve">Pakiet onkologiczny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AD6A7F">
              <w:rPr>
                <w:rFonts w:ascii="Times New Roman" w:hAnsi="Times New Roman" w:cs="Times New Roman"/>
                <w:color w:val="000000"/>
              </w:rPr>
              <w:t>o oceny badań:</w:t>
            </w:r>
          </w:p>
          <w:p w14:paraId="75D29E36" w14:textId="77777777" w:rsidR="006A1D2F" w:rsidRPr="00AD6A7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AD6A7F">
              <w:rPr>
                <w:rFonts w:ascii="Times New Roman" w:hAnsi="Times New Roman" w:cs="Times New Roman"/>
                <w:color w:val="000000"/>
              </w:rPr>
              <w:t>Kwantyfikacja funkcjonalna, w tym (SUV), wartość szczytowa (</w:t>
            </w:r>
            <w:proofErr w:type="spellStart"/>
            <w:r w:rsidRPr="00AD6A7F">
              <w:rPr>
                <w:rFonts w:ascii="Times New Roman" w:hAnsi="Times New Roman" w:cs="Times New Roman"/>
                <w:color w:val="000000"/>
              </w:rPr>
              <w:t>Peak</w:t>
            </w:r>
            <w:proofErr w:type="spellEnd"/>
            <w:r w:rsidRPr="00AD6A7F">
              <w:rPr>
                <w:rFonts w:ascii="Times New Roman" w:hAnsi="Times New Roman" w:cs="Times New Roman"/>
                <w:color w:val="000000"/>
              </w:rPr>
              <w:t>), całkowita glikoliza zmiany patologicznej (TLG)/całkowita aktywność;</w:t>
            </w:r>
          </w:p>
          <w:p w14:paraId="2C0C829E" w14:textId="77777777" w:rsidR="006A1D2F" w:rsidRPr="00AD6A7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AD6A7F">
              <w:rPr>
                <w:rFonts w:ascii="Times New Roman" w:hAnsi="Times New Roman" w:cs="Times New Roman"/>
                <w:color w:val="000000"/>
              </w:rPr>
              <w:t xml:space="preserve">Raportowanie oraz ocena kwantyfikowalnej odpowiedzi na leczenie poprzez automatyczną segmentację jednego i wielu ognisk jednocześnie (np. przy </w:t>
            </w:r>
            <w:proofErr w:type="spellStart"/>
            <w:r w:rsidRPr="00AD6A7F">
              <w:rPr>
                <w:rFonts w:ascii="Times New Roman" w:hAnsi="Times New Roman" w:cs="Times New Roman"/>
                <w:color w:val="000000"/>
              </w:rPr>
              <w:t>chłoniakach</w:t>
            </w:r>
            <w:proofErr w:type="spellEnd"/>
            <w:r w:rsidRPr="00AD6A7F">
              <w:rPr>
                <w:rFonts w:ascii="Times New Roman" w:hAnsi="Times New Roman" w:cs="Times New Roman"/>
                <w:color w:val="000000"/>
              </w:rPr>
              <w:t>) oraz obliczanie wpływu nowotworu na funkcjonowanie całego organizmu lub określonego regionu ciała (TLG/całkowita aktywność)</w:t>
            </w:r>
          </w:p>
          <w:p w14:paraId="76FBAAC2" w14:textId="77777777" w:rsidR="006A1D2F" w:rsidRPr="00AD6A7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Pr="00AD6A7F">
              <w:rPr>
                <w:rFonts w:ascii="Times New Roman" w:hAnsi="Times New Roman" w:cs="Times New Roman"/>
                <w:color w:val="000000"/>
              </w:rPr>
              <w:t>Narzędzia hybrydowe do łatwego wykonywania pomiarów funkcjonalnych oraz anatomicznych</w:t>
            </w:r>
          </w:p>
          <w:p w14:paraId="2FD2B9A2" w14:textId="77777777" w:rsidR="006A1D2F" w:rsidRPr="00AD6A7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AD6A7F">
              <w:rPr>
                <w:rFonts w:ascii="Times New Roman" w:hAnsi="Times New Roman" w:cs="Times New Roman"/>
                <w:color w:val="000000"/>
              </w:rPr>
              <w:t>Obliczanie progu PERCIST</w:t>
            </w:r>
          </w:p>
          <w:p w14:paraId="1ACD05E7" w14:textId="422837B8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D6A7F">
              <w:rPr>
                <w:rFonts w:ascii="Times New Roman" w:hAnsi="Times New Roman" w:cs="Times New Roman"/>
                <w:color w:val="000000"/>
              </w:rPr>
              <w:t>Licencje dla min. 6 jednoczesnych użytkowników.</w:t>
            </w:r>
            <w:r>
              <w:rPr>
                <w:rFonts w:ascii="Times New Roman" w:hAnsi="Times New Roman" w:cs="Times New Roman"/>
                <w:color w:val="000000"/>
              </w:rPr>
              <w:t xml:space="preserve"> Podać nazwę licencji i opisać.</w:t>
            </w:r>
          </w:p>
        </w:tc>
        <w:tc>
          <w:tcPr>
            <w:tcW w:w="1560" w:type="dxa"/>
            <w:vAlign w:val="center"/>
          </w:tcPr>
          <w:p w14:paraId="466832BA" w14:textId="1BEE6CB5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TAK, opisać</w:t>
            </w:r>
          </w:p>
        </w:tc>
        <w:tc>
          <w:tcPr>
            <w:tcW w:w="3269" w:type="dxa"/>
            <w:vAlign w:val="center"/>
          </w:tcPr>
          <w:p w14:paraId="266EF22C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94D4B58" w14:textId="4A0E7895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36470F27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D466C99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C411B0B" w14:textId="12CDC648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Oprogramowanie wspomagające analizę badania na podstawie wartości SUV dla FDG, do automatycznego różnicowania zmian fizjologicznych od niefizjologicznych.</w:t>
            </w:r>
          </w:p>
          <w:p w14:paraId="08B73CDB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Oprogramowanie używa rezultatów automatycznego wyszukania zmian jednego i wielu ognisk (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MultiFoci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Segmentation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Lesion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Scout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 xml:space="preserve"> lub równoważnego), automatycznie zaznaczając kolorem ogniska, które mogą być użyte do wyliczenia parametrów MTV/TLG pozwalających na ocenę obciążenia guzem.</w:t>
            </w:r>
          </w:p>
          <w:p w14:paraId="78A65873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Algorytm stosujący najnowszej generacji algorytmy AI.</w:t>
            </w:r>
          </w:p>
          <w:p w14:paraId="209C2B24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Oprogramowanie działające w trybie „offline”.</w:t>
            </w:r>
          </w:p>
          <w:p w14:paraId="222FC531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Licencje dla min. 2 jednoczesnych użytkowników</w:t>
            </w:r>
          </w:p>
          <w:p w14:paraId="31C0F230" w14:textId="578CBC70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5217F5A6" w14:textId="4B26BB4B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7C37D5D1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5129E14" w14:textId="2834D63B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7534BF07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F1D133F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3225FDB" w14:textId="0A6AC2CA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Oprogramowanie wspomagające analizę badania na podstawie wartości SUV dla Ga-68 PSMA do automatycznego różnicowania zmian fizjologicznych od niefizjologicznych.</w:t>
            </w:r>
          </w:p>
          <w:p w14:paraId="78C42A32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Oprogramowanie używa rezultatów automatycznego wyszukania zmian jednego i wielu ognisk (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MultiFoci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Segmentation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Lesion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Scout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 xml:space="preserve"> lub równoważnego), automatycznie zaznaczając kolorem ogniska, które mogą być użyte do wyliczenia parametrów MTV/TLG pozwalających na ocenę obciążenia guzem.</w:t>
            </w:r>
          </w:p>
          <w:p w14:paraId="1893A9F7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Algorytm stosujący najnowszej generacji algorytmy AI.</w:t>
            </w:r>
          </w:p>
          <w:p w14:paraId="73EC2E7C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Oprogramowanie działające w trybie „offline”.</w:t>
            </w:r>
          </w:p>
          <w:p w14:paraId="46C04F5F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Licencje dla min. 2 jednoczesnych użytkowników.</w:t>
            </w:r>
          </w:p>
          <w:p w14:paraId="79784E0C" w14:textId="15618DB8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17570D5C" w14:textId="439CC5F0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01A84496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F5BF0E1" w14:textId="0E0B50B5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6D930833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3916C57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42C3D582" w14:textId="6A856931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Technologia EQ-PET do porównywania wartości SUV z badaniami wykonanymi na innych aparatach PET, w innych parametrach rekonstrukcji, o udokumentowanym naukowo ograniczeniu zmienności (zależności od aparatu/rekonstrukcji) SUV do poniżej 20%.</w:t>
            </w:r>
          </w:p>
          <w:p w14:paraId="6DE2A2F5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Licencje dla min. 6 jednoczesnych użytkowników.</w:t>
            </w:r>
          </w:p>
          <w:p w14:paraId="7CF5F9FA" w14:textId="69CEDA32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0383EAC1" w14:textId="443C7065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76D19632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17C032F" w14:textId="6323D6DD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0AFA8A2B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CAE7C79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5230F5C" w14:textId="698DFAFF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Możliwość porównywania badań PET, SPECT, CT, MR.</w:t>
            </w:r>
          </w:p>
          <w:p w14:paraId="4D10F2E5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lastRenderedPageBreak/>
              <w:t>Automatyczna rejestracja, synchronizacja, przewijanie badań, z możliwością ręcznej korekty wyrównania.</w:t>
            </w:r>
          </w:p>
          <w:p w14:paraId="1E43170E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Porównywanie badań PET/CT i SPECT/CT w hybrydowych widokach 3D VRT.</w:t>
            </w:r>
          </w:p>
          <w:p w14:paraId="0ED84217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Licencje dla min. 6 jednoczesnych użytkowników.</w:t>
            </w:r>
          </w:p>
          <w:p w14:paraId="0CE9EFD3" w14:textId="4A47E649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05A2182B" w14:textId="261A6B90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TAK, opisać</w:t>
            </w:r>
          </w:p>
        </w:tc>
        <w:tc>
          <w:tcPr>
            <w:tcW w:w="3269" w:type="dxa"/>
            <w:vAlign w:val="center"/>
          </w:tcPr>
          <w:p w14:paraId="3685EB09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A9681B3" w14:textId="70F6D571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42F7DFB1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8935ACE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54F0126B" w14:textId="1989DEA8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 xml:space="preserve">Kolorowa wizualizacja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wysegmentowanych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 xml:space="preserve"> zmian w 3D odzwierciedlająca różnicę pomiędzy badaniem bieżącym a poprzednim (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trending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>), tj. np.:</w:t>
            </w:r>
          </w:p>
          <w:p w14:paraId="18FF78A0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na zielono: oznacza zmniejszenie w odniesieniu do badania poprzedniego,</w:t>
            </w:r>
          </w:p>
          <w:p w14:paraId="1BC35F3B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na żółto: bez zmian,</w:t>
            </w:r>
          </w:p>
          <w:p w14:paraId="31290A64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na czerwono: powiększenie zmiany</w:t>
            </w:r>
          </w:p>
          <w:p w14:paraId="0E805B66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Licencje dla min. 6 jednoczesnych użytkowników</w:t>
            </w:r>
          </w:p>
          <w:p w14:paraId="580F59BD" w14:textId="0FA6D6A2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5FF29DBF" w14:textId="5AFEF318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799A8C6A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909AB28" w14:textId="4867453D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09A7EFF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13C8BAB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C728DB0" w14:textId="1A124F5A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 xml:space="preserve">Możliwość klasyfikacji w badaniach PET zmian w węzłach chłonnych wg klasyfikacji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Deauville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1B24E83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Licencje dla min. 6 jednoczesnych użytkowników.</w:t>
            </w:r>
          </w:p>
          <w:p w14:paraId="4AC7094B" w14:textId="44C5DC85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licencja Producenta)</w:t>
            </w:r>
          </w:p>
        </w:tc>
        <w:tc>
          <w:tcPr>
            <w:tcW w:w="1560" w:type="dxa"/>
            <w:vAlign w:val="center"/>
          </w:tcPr>
          <w:p w14:paraId="50BC6AD8" w14:textId="3A634DA5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675BD02F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84E949C" w14:textId="3CD8124C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745AB51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AAE125B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7E73C9CA" w14:textId="2D8FCDB4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Ocena objętościowych obszarów zainteresowania podczas akwizycji dynamicznych PET, generowanie krzywych czasowych aktywności (TAC) do standardowych wskaźników PET.</w:t>
            </w:r>
          </w:p>
          <w:p w14:paraId="3B1157A0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Licencja dla min. 1 jednoczesnego użytkownika.</w:t>
            </w:r>
          </w:p>
          <w:p w14:paraId="5302D9F1" w14:textId="433A91F7" w:rsidR="006A1D2F" w:rsidRPr="00325ABF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2F6FC4D3" w14:textId="56D5FC29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6DDE970F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F561470" w14:textId="4842BEFB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1BF09DE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C30A50F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C078D5C" w14:textId="566F06A4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Pakiet neurologiczny do analizy badań PET:</w:t>
            </w:r>
          </w:p>
          <w:p w14:paraId="38C6D299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bazy danych FDG,</w:t>
            </w:r>
          </w:p>
          <w:p w14:paraId="3E89F8B2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wyświetlanie i kwantyfikacja badań PET mózgu,</w:t>
            </w:r>
          </w:p>
          <w:p w14:paraId="4E169895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tworzenie obrazów mózgu w 3D.</w:t>
            </w:r>
          </w:p>
          <w:p w14:paraId="53E876C0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powtarzalna wizualna ocena skanów mózgu z wykorzystaniem FDOPA,</w:t>
            </w:r>
          </w:p>
          <w:p w14:paraId="18208FCD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 xml:space="preserve">kwantyfikacja np. stosunku lewa/prawa i stosunku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prążkowia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 xml:space="preserve"> do tła</w:t>
            </w:r>
          </w:p>
          <w:p w14:paraId="34395C1A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Licencja dla min. 2 jednoczesnych użytkowników.</w:t>
            </w:r>
          </w:p>
          <w:p w14:paraId="4138E5E0" w14:textId="552F6186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3ED78968" w14:textId="3E718A3E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6DBF3C1C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C71FC80" w14:textId="43A58710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13FF3B2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2F5A21E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A3217C0" w14:textId="2246D11C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Rozszerzony pakiet neurologiczny do analizy badań PET.</w:t>
            </w:r>
          </w:p>
          <w:p w14:paraId="1EC60FB9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Ocena ilościowa beta-amyloidu oraz tau, wyznaczanie SUV dla obszarów zainteresowania.</w:t>
            </w:r>
          </w:p>
          <w:p w14:paraId="2F55E00F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 xml:space="preserve">Ocena złogów w skali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centyloidowej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C816D9A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Możliwość porównania z bazą danych osób zdrowych.</w:t>
            </w:r>
          </w:p>
          <w:p w14:paraId="5C5671BA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 xml:space="preserve">Wbudowane bazy danych dla znaczników: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florbetapir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6E4D">
              <w:rPr>
                <w:rFonts w:ascii="Times New Roman" w:hAnsi="Times New Roman" w:cs="Times New Roman"/>
                <w:color w:val="000000"/>
              </w:rPr>
              <w:t>florbetaben</w:t>
            </w:r>
            <w:proofErr w:type="spellEnd"/>
            <w:r w:rsidRPr="00B76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B55E307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Licencja dla min. 1 jednoczesnego użytkownika.</w:t>
            </w:r>
          </w:p>
          <w:p w14:paraId="145925C7" w14:textId="166F967A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3B0B04B5" w14:textId="0A952608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opisać</w:t>
            </w:r>
          </w:p>
        </w:tc>
        <w:tc>
          <w:tcPr>
            <w:tcW w:w="3269" w:type="dxa"/>
            <w:vAlign w:val="center"/>
          </w:tcPr>
          <w:p w14:paraId="30C05D2F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EC3AE36" w14:textId="403B4F86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3DE2861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1B798B7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0B6A7F39" w14:textId="505E599C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Możliwość tworzenia własnych baz danych dla np. różnych grup wiekowych, znaczników, terapii.</w:t>
            </w:r>
          </w:p>
        </w:tc>
        <w:tc>
          <w:tcPr>
            <w:tcW w:w="1560" w:type="dxa"/>
            <w:vAlign w:val="center"/>
          </w:tcPr>
          <w:p w14:paraId="0F9F5FEA" w14:textId="0F6BA438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02F3BF1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F1B85A2" w14:textId="658E9266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1653FC7E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63E41CC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E177FBF" w14:textId="2C1A5644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Wizualizacja oraz eksport objętości docelowych PTV, CTV oraz GTV do systemów planowania terapii.</w:t>
            </w:r>
          </w:p>
          <w:p w14:paraId="568C8F7D" w14:textId="77777777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76E4D">
              <w:rPr>
                <w:rFonts w:ascii="Times New Roman" w:hAnsi="Times New Roman" w:cs="Times New Roman"/>
                <w:color w:val="000000"/>
              </w:rPr>
              <w:t>Licencje dla min. 3 jednoczesnych użytkowników.</w:t>
            </w:r>
          </w:p>
          <w:p w14:paraId="0D6F001C" w14:textId="15C6C09C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7663F335" w14:textId="0BBEB57D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3762B91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772487F" w14:textId="2993367C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281363E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8D395CC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FDA3693" w14:textId="297A4139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Funkcjonalności dla dokładnej oceny badań onkologicznych CT:</w:t>
            </w:r>
          </w:p>
          <w:p w14:paraId="316C7580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automatyczna segmentacja i prezentacja w 3D zmian w badaniach CT narządów miąższowych, w tym w płucach, wątrobie oraz w węzłach chłonnych wraz z automatycznym pomiarem zmiany zgodnie z RECIST 1,1 WHO, i jej objętości</w:t>
            </w:r>
          </w:p>
          <w:p w14:paraId="28E49002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możliwość załadowania i porównania co najmniej 4 badań tego samego pacjenta</w:t>
            </w:r>
          </w:p>
          <w:p w14:paraId="637574C4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 xml:space="preserve">klasyfikacja zmian zgodnie z TNM,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Lung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>-RADS</w:t>
            </w:r>
          </w:p>
          <w:p w14:paraId="2C0D6D74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Licencje dla min. 3 jednoczesnych użytkowników.</w:t>
            </w:r>
          </w:p>
          <w:p w14:paraId="282696B1" w14:textId="6E0468B2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6B6FC722" w14:textId="4AE49C95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A376474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A158EC7" w14:textId="3E6691EF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746E5C3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575290B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23E43B60" w14:textId="626F996B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 xml:space="preserve">Oprogramowanie do pogłębionej analizy zmian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hipo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hiperdensyjnych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 w badaniach CT narządach miąższowych w oparciu o zadane poziomy gęstości HU wraz z wyznaczeniem objętości obszaru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hipo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hiperdensyjnego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 i jego udziału procentowego do całej zmiany (potencjalny wskaźnik martwicy)</w:t>
            </w:r>
          </w:p>
          <w:p w14:paraId="05C68C66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Licencje dla min. 3 jednoczesnych użytkowników</w:t>
            </w:r>
          </w:p>
          <w:p w14:paraId="4AB43CD3" w14:textId="12CC1289" w:rsidR="006A1D2F" w:rsidRPr="00B76E4D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7F8E3C78" w14:textId="255F44B2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EB2D549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DAD1793" w14:textId="7FF957E2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1B59A9F7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6AB832E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C64A625" w14:textId="1F3A6B83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Oprogramowanie do automatycznego wykrywania guzków w płucach w badaniach CT, PET-CT, SPECT-CT.</w:t>
            </w:r>
          </w:p>
          <w:p w14:paraId="6C46C603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Licencja dla min. 1 jednoczesnego użytkownika.</w:t>
            </w:r>
          </w:p>
          <w:p w14:paraId="0CD4697C" w14:textId="3DB0BD31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4BDF717E" w14:textId="39BD48FC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5611D87F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5AB654B" w14:textId="1BAD860B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7F01B44C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9DA39A7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38C54E25" w14:textId="5FC0CF3B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 xml:space="preserve">Automatyczne porównywanie badań płuc CT w 3D, na potrzeby rozszerzonej oceny zmian w procesie terapii, z kolorowym zaznaczeniem zmian pomiędzy badaniami (technologia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Lung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Change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 lub zgodnie z nazewnictwem producenta) realizujące:</w:t>
            </w:r>
          </w:p>
          <w:p w14:paraId="0453A87A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automatyczne załadowanie, wyświetlenie i zarejestrowanie badania bieżącego i poprzedniego bez konieczności ręcznej interakcji przez użytkownika,</w:t>
            </w:r>
          </w:p>
          <w:p w14:paraId="18730B4B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automatyczne zaznaczenie w kolorze (np. pomarańczowy kolor – zwiększenie gęstości HU, niebieski – zmniejszenie HU) wszelkich zmian w gęstości płuc pomiędzy dwoma badaniami CT,</w:t>
            </w:r>
          </w:p>
          <w:p w14:paraId="1084EDDA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możliwość włączania/wyłączania kolorowej nakładki obrazującej zmianę gęstości HU</w:t>
            </w:r>
          </w:p>
          <w:p w14:paraId="56A5811C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Licencje dla min. 2 jednoczesnych użytkowników.</w:t>
            </w:r>
          </w:p>
          <w:p w14:paraId="23E29C1A" w14:textId="24570D60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(licencja Producenta)</w:t>
            </w:r>
          </w:p>
        </w:tc>
        <w:tc>
          <w:tcPr>
            <w:tcW w:w="1560" w:type="dxa"/>
            <w:vAlign w:val="center"/>
          </w:tcPr>
          <w:p w14:paraId="478B6285" w14:textId="64C897E7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3269" w:type="dxa"/>
            <w:vAlign w:val="center"/>
          </w:tcPr>
          <w:p w14:paraId="494F5052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2C948FD" w14:textId="6AFC2118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676330D3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22309A0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12526F53" w14:textId="06CC4630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Oprogramowanie dedykowane do analizy badań dynamicznych całego ciała (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Whole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-Body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Dynamic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>) o funkcjonalnościach:</w:t>
            </w:r>
          </w:p>
          <w:p w14:paraId="7F857D12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 xml:space="preserve">przetwarzanie i przegląd obrazów parametrycznych na podstawie modelu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Patlaka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Influx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Rate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) – Ki, wolumen dystrybucji –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Vd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 i tempo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metablizmu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 FDG.</w:t>
            </w:r>
          </w:p>
          <w:p w14:paraId="25351F8F" w14:textId="43D17E02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Licencje dla min. 1 jednoczesnego uży</w:t>
            </w:r>
            <w:r>
              <w:rPr>
                <w:rFonts w:ascii="Times New Roman" w:hAnsi="Times New Roman" w:cs="Times New Roman"/>
                <w:color w:val="000000"/>
              </w:rPr>
              <w:t>tkownika. (licencja Producenta)</w:t>
            </w:r>
          </w:p>
        </w:tc>
        <w:tc>
          <w:tcPr>
            <w:tcW w:w="1560" w:type="dxa"/>
            <w:vAlign w:val="center"/>
          </w:tcPr>
          <w:p w14:paraId="02088207" w14:textId="0C64B94C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B70E830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5884245" w14:textId="0F9E0E50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D2F" w:rsidRPr="000353C4" w14:paraId="7D4E051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354EDBC" w14:textId="77777777" w:rsidR="006A1D2F" w:rsidRPr="000353C4" w:rsidRDefault="006A1D2F" w:rsidP="006A1D2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77F26681" w14:textId="3480A52C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Oprogramowanie do oceny guzów (ocena odpowiedzi na leczenie przerzutów nowotworów do kości (rak prostaty / piersi, szpiczak mnogi) oparta na ADC, wysokim b DWI.</w:t>
            </w:r>
          </w:p>
          <w:p w14:paraId="295356DB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 xml:space="preserve">Możliwość segmentacji zmian z ręczną korektą, analiza dyfuzji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whole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-body za pomocą histogramów wraz z analizą ilościową i graficzną i porównanie rożnych badań, oceną funkcjonalną PET (MR </w:t>
            </w:r>
            <w:proofErr w:type="spellStart"/>
            <w:r w:rsidRPr="00580276">
              <w:rPr>
                <w:rFonts w:ascii="Times New Roman" w:hAnsi="Times New Roman" w:cs="Times New Roman"/>
                <w:color w:val="000000"/>
              </w:rPr>
              <w:t>OncoTrend</w:t>
            </w:r>
            <w:proofErr w:type="spellEnd"/>
            <w:r w:rsidRPr="00580276">
              <w:rPr>
                <w:rFonts w:ascii="Times New Roman" w:hAnsi="Times New Roman" w:cs="Times New Roman"/>
                <w:color w:val="000000"/>
              </w:rPr>
              <w:t xml:space="preserve"> lub zgodnie z nazewnictwem producenta)</w:t>
            </w:r>
          </w:p>
          <w:p w14:paraId="7D37C9ED" w14:textId="77777777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80276">
              <w:rPr>
                <w:rFonts w:ascii="Times New Roman" w:hAnsi="Times New Roman" w:cs="Times New Roman"/>
                <w:color w:val="000000"/>
              </w:rPr>
              <w:t>Licencje dla min. 2 jednoczesnych użytkowników.</w:t>
            </w:r>
          </w:p>
          <w:p w14:paraId="4C313264" w14:textId="21ACCC23" w:rsidR="006A1D2F" w:rsidRPr="00580276" w:rsidRDefault="006A1D2F" w:rsidP="006A1D2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(licencja Producenta)</w:t>
            </w:r>
          </w:p>
        </w:tc>
        <w:tc>
          <w:tcPr>
            <w:tcW w:w="1560" w:type="dxa"/>
            <w:vAlign w:val="center"/>
          </w:tcPr>
          <w:p w14:paraId="16671227" w14:textId="5EDD5ABF" w:rsidR="006A1D2F" w:rsidRDefault="006A1D2F" w:rsidP="006A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B302442" w14:textId="77777777" w:rsidR="006A1D2F" w:rsidRPr="000353C4" w:rsidRDefault="006A1D2F" w:rsidP="006A1D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0EBB365" w14:textId="3D97CFAE" w:rsidR="006A1D2F" w:rsidRDefault="006A1D2F" w:rsidP="006A1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7365F95" w14:textId="77777777" w:rsidR="00EA4942" w:rsidRDefault="00EA4942" w:rsidP="00EA4942">
      <w:pPr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3269"/>
        <w:gridCol w:w="189"/>
      </w:tblGrid>
      <w:tr w:rsidR="00D365AD" w:rsidRPr="000353C4" w14:paraId="3EDC87AD" w14:textId="77777777" w:rsidTr="006A1817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14:paraId="67872EF5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14:paraId="482154C8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1BE4616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269" w:type="dxa"/>
            <w:shd w:val="clear" w:color="auto" w:fill="BFBFBF" w:themeFill="background1" w:themeFillShade="BF"/>
            <w:vAlign w:val="center"/>
          </w:tcPr>
          <w:p w14:paraId="3B939422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14:paraId="27A6A389" w14:textId="0B93314E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65AD" w:rsidRPr="000353C4" w14:paraId="16EB48D3" w14:textId="77777777" w:rsidTr="00882DDA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D4DC793" w14:textId="77777777" w:rsidR="00D365AD" w:rsidRPr="000353C4" w:rsidRDefault="00D365AD" w:rsidP="00882DDA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center"/>
          </w:tcPr>
          <w:p w14:paraId="1BEE1012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3C4">
              <w:rPr>
                <w:rFonts w:ascii="Times New Roman" w:hAnsi="Times New Roman" w:cs="Times New Roman"/>
                <w:b/>
              </w:rPr>
              <w:t>Pozostałe wymagania</w:t>
            </w:r>
            <w:r>
              <w:rPr>
                <w:rFonts w:ascii="Times New Roman" w:hAnsi="Times New Roman" w:cs="Times New Roman"/>
                <w:b/>
              </w:rPr>
              <w:t xml:space="preserve"> dla wszystkich urządzeń</w:t>
            </w:r>
          </w:p>
        </w:tc>
      </w:tr>
      <w:tr w:rsidR="00D365AD" w:rsidRPr="000353C4" w14:paraId="7DF193C3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B5588AA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7B68BC91" w14:textId="3C5C4288" w:rsidR="00D365AD" w:rsidRPr="000353C4" w:rsidRDefault="00D365AD" w:rsidP="00882DDA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Okres gwarancji</w:t>
            </w:r>
            <w:r w:rsidR="004E07C3">
              <w:rPr>
                <w:rFonts w:ascii="Times New Roman" w:hAnsi="Times New Roman" w:cs="Times New Roman"/>
              </w:rPr>
              <w:t xml:space="preserve"> bez żadnych </w:t>
            </w:r>
            <w:proofErr w:type="spellStart"/>
            <w:r w:rsidR="004E07C3">
              <w:rPr>
                <w:rFonts w:ascii="Times New Roman" w:hAnsi="Times New Roman" w:cs="Times New Roman"/>
              </w:rPr>
              <w:t>wyłączeń</w:t>
            </w:r>
            <w:proofErr w:type="spellEnd"/>
            <w:r w:rsidR="004E07C3">
              <w:rPr>
                <w:rFonts w:ascii="Times New Roman" w:hAnsi="Times New Roman" w:cs="Times New Roman"/>
              </w:rPr>
              <w:t xml:space="preserve"> (w tym dla elementów tj. lampa RTG, generator, detektor)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3C4">
              <w:rPr>
                <w:rFonts w:ascii="Times New Roman" w:hAnsi="Times New Roman" w:cs="Times New Roman"/>
              </w:rPr>
              <w:t xml:space="preserve">– min. </w:t>
            </w:r>
            <w:r>
              <w:rPr>
                <w:rFonts w:ascii="Times New Roman" w:hAnsi="Times New Roman" w:cs="Times New Roman"/>
              </w:rPr>
              <w:t>36 miesięcy</w:t>
            </w:r>
          </w:p>
        </w:tc>
        <w:tc>
          <w:tcPr>
            <w:tcW w:w="1560" w:type="dxa"/>
            <w:vAlign w:val="center"/>
          </w:tcPr>
          <w:p w14:paraId="7C170C92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</w:tcPr>
          <w:p w14:paraId="1B4A2DA9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0D81D88" w14:textId="7CF7AB4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028E24A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7BEAA3C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89591B2" w14:textId="6F6E8377" w:rsidR="00D365AD" w:rsidRPr="000353C4" w:rsidRDefault="00D365AD" w:rsidP="00551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Wliczone w cenę przeglądy okresowe w okresie gwarancji (o częstotliwości i zakresie </w:t>
            </w:r>
            <w:r w:rsidR="004E07C3">
              <w:rPr>
                <w:rFonts w:ascii="Times New Roman" w:hAnsi="Times New Roman" w:cs="Times New Roman"/>
              </w:rPr>
              <w:t>zgodnym z wymogami producenta), testy</w:t>
            </w:r>
            <w:r w:rsidR="008841D3">
              <w:rPr>
                <w:rFonts w:ascii="Times New Roman" w:hAnsi="Times New Roman" w:cs="Times New Roman"/>
              </w:rPr>
              <w:t xml:space="preserve"> specjalistyczne odbiorcze, </w:t>
            </w:r>
            <w:r w:rsidR="004E07C3">
              <w:rPr>
                <w:rFonts w:ascii="Times New Roman" w:hAnsi="Times New Roman" w:cs="Times New Roman"/>
              </w:rPr>
              <w:t>akceptacyjne</w:t>
            </w:r>
            <w:r w:rsidR="005518BE">
              <w:rPr>
                <w:rFonts w:ascii="Times New Roman" w:hAnsi="Times New Roman" w:cs="Times New Roman"/>
              </w:rPr>
              <w:t>, wszystkie materiały niezbędne do wykonania przeglądów</w:t>
            </w:r>
            <w:r w:rsidR="004E07C3">
              <w:rPr>
                <w:rFonts w:ascii="Times New Roman" w:hAnsi="Times New Roman" w:cs="Times New Roman"/>
              </w:rPr>
              <w:t xml:space="preserve">. Ostatni przegląd okresowy musi być wykonany nie wcześniej niż </w:t>
            </w:r>
            <w:r w:rsidR="005518BE">
              <w:rPr>
                <w:rFonts w:ascii="Times New Roman" w:hAnsi="Times New Roman" w:cs="Times New Roman"/>
              </w:rPr>
              <w:t>30 dni</w:t>
            </w:r>
            <w:r w:rsidR="004E07C3">
              <w:rPr>
                <w:rFonts w:ascii="Times New Roman" w:hAnsi="Times New Roman" w:cs="Times New Roman"/>
              </w:rPr>
              <w:t xml:space="preserve"> przed końcem zakończenia gwarancji.</w:t>
            </w:r>
          </w:p>
        </w:tc>
        <w:tc>
          <w:tcPr>
            <w:tcW w:w="1560" w:type="dxa"/>
            <w:vAlign w:val="center"/>
          </w:tcPr>
          <w:p w14:paraId="0D032199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4C2CAC72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8E05E4A" w14:textId="77496400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70AB87C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22130D4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6E5AE8CA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14:paraId="30A191EF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częstotliwość przeglądów</w:t>
            </w:r>
          </w:p>
          <w:p w14:paraId="41683DBD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14:paraId="5715532D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60" w:type="dxa"/>
            <w:vAlign w:val="center"/>
          </w:tcPr>
          <w:p w14:paraId="6824C52E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65AD5BC3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6A630D0" w14:textId="558E48AA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63413CB7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F840267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65D1D09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3D2FA03C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6722FFF3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4C20B88" w14:textId="4E86748E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30ECAD7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8C3304A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32071BB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32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(przy dostawie)</w:t>
            </w:r>
          </w:p>
        </w:tc>
        <w:tc>
          <w:tcPr>
            <w:tcW w:w="1560" w:type="dxa"/>
            <w:vAlign w:val="center"/>
          </w:tcPr>
          <w:p w14:paraId="1EB7ED86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111FF850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285C53F" w14:textId="17323A6A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5E8B7A8B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2C8B00A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68162D5F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35D78921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28B48BE2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1672F39" w14:textId="04071E08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1F8D7B19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7E9025C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310C516C" w14:textId="77777777" w:rsidR="00D365AD" w:rsidRPr="000353C4" w:rsidRDefault="00D365AD" w:rsidP="00882DD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60" w:type="dxa"/>
            <w:vAlign w:val="center"/>
          </w:tcPr>
          <w:p w14:paraId="409C7972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4DEBE2C1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D66E5DF" w14:textId="2017C7E3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5AD" w:rsidRPr="000353C4" w14:paraId="12B9784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1B834E4" w14:textId="77777777" w:rsidR="00D365AD" w:rsidRPr="000353C4" w:rsidRDefault="00D365AD" w:rsidP="00D365A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62D1DB41" w14:textId="5ADFCB31" w:rsidR="00D365AD" w:rsidRPr="000353C4" w:rsidRDefault="00D365AD" w:rsidP="00882DD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zakresie eksploatacji i obsługi</w:t>
            </w:r>
            <w:r w:rsidR="00375C2A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="00375C2A" w:rsidRPr="00375C2A">
              <w:rPr>
                <w:rFonts w:ascii="Times New Roman" w:eastAsia="Times New Roman" w:hAnsi="Times New Roman" w:cs="Times New Roman"/>
                <w:noProof/>
                <w:color w:val="000000"/>
              </w:rPr>
              <w:t>udokumentowane imiennymi zaświadczeniami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27D530F2" w14:textId="77777777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38C36FB5" w14:textId="77777777" w:rsidR="00D365AD" w:rsidRPr="000353C4" w:rsidRDefault="00D365AD" w:rsidP="00882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CA14AA5" w14:textId="4B5C2508" w:rsidR="00D365AD" w:rsidRPr="000353C4" w:rsidRDefault="00D365AD" w:rsidP="00882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819" w:rsidRPr="000353C4" w14:paraId="53CA91E6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60A8B0A" w14:textId="77777777" w:rsidR="00B90819" w:rsidRPr="000353C4" w:rsidRDefault="00B90819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0D84FE50" w14:textId="15A21E98" w:rsidR="00B90819" w:rsidRPr="00F116A5" w:rsidRDefault="00B90819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90819">
              <w:rPr>
                <w:rFonts w:ascii="Times New Roman" w:eastAsia="Times New Roman" w:hAnsi="Times New Roman" w:cs="Times New Roman"/>
                <w:noProof/>
                <w:color w:val="000000"/>
              </w:rPr>
              <w:t>Opisać zaimplementowane zabezpieczenia antywirusowe stosowanego oprogramowania i sprzętu komputerowego.</w:t>
            </w:r>
          </w:p>
        </w:tc>
        <w:tc>
          <w:tcPr>
            <w:tcW w:w="1560" w:type="dxa"/>
            <w:vAlign w:val="center"/>
          </w:tcPr>
          <w:p w14:paraId="421D0A52" w14:textId="33D14061" w:rsidR="00B90819" w:rsidRDefault="00B90819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  <w:r w:rsidR="00DC152D">
              <w:rPr>
                <w:rFonts w:ascii="Times New Roman" w:hAnsi="Times New Roman" w:cs="Times New Roman"/>
              </w:rPr>
              <w:t>, opisać</w:t>
            </w:r>
          </w:p>
        </w:tc>
        <w:tc>
          <w:tcPr>
            <w:tcW w:w="3269" w:type="dxa"/>
          </w:tcPr>
          <w:p w14:paraId="6F21BBA9" w14:textId="77777777" w:rsidR="00B90819" w:rsidRPr="000353C4" w:rsidRDefault="00B90819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C29345B" w14:textId="29058E62" w:rsidR="00B90819" w:rsidRDefault="00B90819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B5C" w:rsidRPr="000353C4" w14:paraId="36594242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047270F" w14:textId="77777777" w:rsidR="00A74B5C" w:rsidRPr="000353C4" w:rsidRDefault="00A74B5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74B2554B" w14:textId="77777777" w:rsidR="00A74B5C" w:rsidRPr="000353C4" w:rsidRDefault="00A74B5C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60" w:type="dxa"/>
            <w:vAlign w:val="center"/>
          </w:tcPr>
          <w:p w14:paraId="787F1F58" w14:textId="77777777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69" w:type="dxa"/>
          </w:tcPr>
          <w:p w14:paraId="3FE271F9" w14:textId="77777777" w:rsidR="00A74B5C" w:rsidRPr="000353C4" w:rsidRDefault="00A74B5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318B80B" w14:textId="5533FD59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B5C" w:rsidRPr="000353C4" w14:paraId="20C2A1D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94FA3AA" w14:textId="77777777" w:rsidR="00A74B5C" w:rsidRPr="000353C4" w:rsidRDefault="00A74B5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1F466163" w14:textId="77777777" w:rsidR="00A74B5C" w:rsidRPr="000353C4" w:rsidRDefault="00A74B5C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60" w:type="dxa"/>
            <w:vAlign w:val="center"/>
          </w:tcPr>
          <w:p w14:paraId="6A12E861" w14:textId="77777777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69" w:type="dxa"/>
          </w:tcPr>
          <w:p w14:paraId="7269D423" w14:textId="77777777" w:rsidR="00A74B5C" w:rsidRPr="000353C4" w:rsidRDefault="00A74B5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4C04FCF" w14:textId="468B1E91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B5C" w:rsidRPr="000353C4" w14:paraId="11E2C501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5C7E004" w14:textId="77777777" w:rsidR="00A74B5C" w:rsidRPr="000353C4" w:rsidRDefault="00A74B5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3FE9DFA8" w14:textId="77777777" w:rsidR="00A74B5C" w:rsidRPr="000353C4" w:rsidRDefault="00A74B5C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560" w:type="dxa"/>
            <w:vAlign w:val="center"/>
          </w:tcPr>
          <w:p w14:paraId="0A360095" w14:textId="77777777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</w:tcPr>
          <w:p w14:paraId="54C111B8" w14:textId="77777777" w:rsidR="00A74B5C" w:rsidRPr="000353C4" w:rsidRDefault="00A74B5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EC7CBD0" w14:textId="62207558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B5C" w:rsidRPr="000353C4" w14:paraId="57237A3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3AC740E" w14:textId="77777777" w:rsidR="00A74B5C" w:rsidRPr="000353C4" w:rsidRDefault="00A74B5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49ED1BDF" w14:textId="77777777" w:rsidR="00A74B5C" w:rsidRPr="000353C4" w:rsidRDefault="00A74B5C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560" w:type="dxa"/>
            <w:vAlign w:val="center"/>
          </w:tcPr>
          <w:p w14:paraId="28530B3C" w14:textId="77777777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</w:tcPr>
          <w:p w14:paraId="14E2D2BE" w14:textId="77777777" w:rsidR="00A74B5C" w:rsidRPr="000353C4" w:rsidRDefault="00A74B5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0B4E78B" w14:textId="1242948D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B5C" w:rsidRPr="000353C4" w14:paraId="3EC3F85F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7155F97" w14:textId="77777777" w:rsidR="00A74B5C" w:rsidRPr="000353C4" w:rsidRDefault="00A74B5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5A00C6C5" w14:textId="365B80D3" w:rsidR="00A74B5C" w:rsidRPr="000353C4" w:rsidRDefault="00A74B5C" w:rsidP="00A74B5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</w:t>
            </w:r>
            <w:r w:rsidR="001E6783" w:rsidRPr="001E6783">
              <w:rPr>
                <w:rFonts w:ascii="Times New Roman" w:eastAsia="Times New Roman" w:hAnsi="Times New Roman" w:cs="Times New Roman"/>
                <w:noProof/>
                <w:color w:val="000000"/>
              </w:rPr>
              <w:t>, potwierdzone zaświadczeniem.</w:t>
            </w: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Instrukcja zawierająca zasady postępowania minimalizujące zużycie energii elektrycznej, wody oraz generowanie odpadów</w:t>
            </w:r>
            <w:r w:rsidR="001E6783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6AD66621" w14:textId="77777777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69" w:type="dxa"/>
          </w:tcPr>
          <w:p w14:paraId="3E18F5C7" w14:textId="77777777" w:rsidR="00A74B5C" w:rsidRPr="000353C4" w:rsidRDefault="00A74B5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5ED618B" w14:textId="1F49A810" w:rsidR="00A74B5C" w:rsidRPr="000353C4" w:rsidRDefault="00A74B5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E4A" w:rsidRPr="000353C4" w14:paraId="78B3305D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038F547" w14:textId="77777777" w:rsidR="001D5E4A" w:rsidRPr="000353C4" w:rsidRDefault="001D5E4A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301BC17A" w14:textId="77777777" w:rsidR="001D5E4A" w:rsidRPr="001D5E4A" w:rsidRDefault="001D5E4A" w:rsidP="001D5E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D5E4A">
              <w:rPr>
                <w:rFonts w:ascii="Times New Roman" w:eastAsia="Times New Roman" w:hAnsi="Times New Roman" w:cs="Times New Roman"/>
                <w:noProof/>
                <w:color w:val="000000"/>
              </w:rPr>
              <w:t>Wykonanie projektu ochrony radiologicznej, w tym projektu osłon stałych istniejącej pracowni izotopowej klasy II wraz z magazynem źródeł i odpadów promieniotwórczych uwzględniającego konieczność przechowywania, stosowania i magazynowania wymaganych przez producenta źródeł kalibracyjnych i fantomów oraz stosowanych w pracowni źródeł otwartch i zamkniętych.</w:t>
            </w:r>
          </w:p>
          <w:p w14:paraId="33DA222A" w14:textId="77777777" w:rsidR="001D5E4A" w:rsidRPr="001D5E4A" w:rsidRDefault="001D5E4A" w:rsidP="001D5E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14:paraId="525D6B9D" w14:textId="77777777" w:rsidR="001D5E4A" w:rsidRPr="001D5E4A" w:rsidRDefault="001D5E4A" w:rsidP="001D5E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D5E4A">
              <w:rPr>
                <w:rFonts w:ascii="Times New Roman" w:eastAsia="Times New Roman" w:hAnsi="Times New Roman" w:cs="Times New Roman"/>
                <w:noProof/>
                <w:color w:val="000000"/>
              </w:rPr>
              <w:t>W przypadku konieczności dostosowania pomieszczeń, instalacji, środków optymalizacji narażenia do nowych projektów OR- Wykonawca wykona prace dostosowawcze.</w:t>
            </w:r>
          </w:p>
          <w:p w14:paraId="64F65560" w14:textId="77777777" w:rsidR="001D5E4A" w:rsidRPr="001D5E4A" w:rsidRDefault="001D5E4A" w:rsidP="001D5E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14:paraId="34267E7C" w14:textId="593640EE" w:rsidR="001D5E4A" w:rsidRDefault="001D5E4A" w:rsidP="001D5E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D5E4A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Wykonawca wykona stosowne testy, sprawdzenia i pomiary dozymetryczne potwierdzające spełnienie założeń projektu OR</w:t>
            </w:r>
          </w:p>
        </w:tc>
        <w:tc>
          <w:tcPr>
            <w:tcW w:w="1560" w:type="dxa"/>
            <w:vAlign w:val="center"/>
          </w:tcPr>
          <w:p w14:paraId="43CF1EC8" w14:textId="7B630779" w:rsidR="001D5E4A" w:rsidRDefault="001D5E4A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3269" w:type="dxa"/>
          </w:tcPr>
          <w:p w14:paraId="7BDCC049" w14:textId="77777777" w:rsidR="001D5E4A" w:rsidRPr="000353C4" w:rsidRDefault="001D5E4A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EC9A45B" w14:textId="77777777" w:rsidR="001D5E4A" w:rsidRDefault="001D5E4A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E4A" w:rsidRPr="000353C4" w14:paraId="1BC01180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DD57E50" w14:textId="77777777" w:rsidR="001D5E4A" w:rsidRPr="000353C4" w:rsidRDefault="001D5E4A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15D02BA3" w14:textId="77777777" w:rsidR="001D5E4A" w:rsidRPr="001D5E4A" w:rsidRDefault="001D5E4A" w:rsidP="001D5E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D5E4A">
              <w:rPr>
                <w:rFonts w:ascii="Times New Roman" w:eastAsia="Times New Roman" w:hAnsi="Times New Roman" w:cs="Times New Roman"/>
                <w:noProof/>
                <w:color w:val="000000"/>
              </w:rPr>
              <w:t>Wykonanie projektu ochrony radiologicznej, w tym projektu osłon stałych pracowni rentgenowskiej nowoinstalowanego apartu.</w:t>
            </w:r>
          </w:p>
          <w:p w14:paraId="6E26BE0A" w14:textId="77777777" w:rsidR="001D5E4A" w:rsidRPr="001D5E4A" w:rsidRDefault="001D5E4A" w:rsidP="001D5E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14:paraId="5F557DD1" w14:textId="77777777" w:rsidR="001D5E4A" w:rsidRPr="001D5E4A" w:rsidRDefault="001D5E4A" w:rsidP="001D5E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D5E4A">
              <w:rPr>
                <w:rFonts w:ascii="Times New Roman" w:eastAsia="Times New Roman" w:hAnsi="Times New Roman" w:cs="Times New Roman"/>
                <w:noProof/>
                <w:color w:val="000000"/>
              </w:rPr>
              <w:t>W przypadku konieczności dostosowania pomieszczeń, instalacji, środków optymalizacji narażenia, sygnalizacji ostrzegawczej, środków zabezpieczeń do projektu OR- Wykonawca wykona prace dostosowawcze.</w:t>
            </w:r>
          </w:p>
          <w:p w14:paraId="6DC8A240" w14:textId="77777777" w:rsidR="001D5E4A" w:rsidRPr="001D5E4A" w:rsidRDefault="001D5E4A" w:rsidP="001D5E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14:paraId="025BC3CB" w14:textId="45055D99" w:rsidR="001D5E4A" w:rsidRDefault="001D5E4A" w:rsidP="001D5E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D5E4A">
              <w:rPr>
                <w:rFonts w:ascii="Times New Roman" w:eastAsia="Times New Roman" w:hAnsi="Times New Roman" w:cs="Times New Roman"/>
                <w:noProof/>
                <w:color w:val="000000"/>
              </w:rPr>
              <w:t>Wykonawca wykona stosowne testy, sprawdzenia i pomiary dozymetryczne potwierdzające spełnienie założeń projektu OR</w:t>
            </w:r>
          </w:p>
        </w:tc>
        <w:tc>
          <w:tcPr>
            <w:tcW w:w="1560" w:type="dxa"/>
            <w:vAlign w:val="center"/>
          </w:tcPr>
          <w:p w14:paraId="1572F89F" w14:textId="5514E110" w:rsidR="001D5E4A" w:rsidRDefault="001D5E4A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76B8B63D" w14:textId="77777777" w:rsidR="001D5E4A" w:rsidRPr="000353C4" w:rsidRDefault="001D5E4A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7344822" w14:textId="77777777" w:rsidR="001D5E4A" w:rsidRDefault="001D5E4A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D6C" w:rsidRPr="000353C4" w14:paraId="13F968B4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EA0B49A" w14:textId="77777777" w:rsidR="009E1D6C" w:rsidRPr="000353C4" w:rsidRDefault="009E1D6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68CD7864" w14:textId="43BEAA61" w:rsidR="009E1D6C" w:rsidRPr="009E1D6C" w:rsidRDefault="009E1D6C" w:rsidP="009E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>Testy odbiorcz</w:t>
            </w:r>
            <w:r w:rsidR="004C3786">
              <w:rPr>
                <w:rFonts w:ascii="Times New Roman" w:eastAsia="Times New Roman" w:hAnsi="Times New Roman" w:cs="Times New Roman"/>
                <w:noProof/>
                <w:color w:val="000000"/>
              </w:rPr>
              <w:t>e</w:t>
            </w:r>
            <w:r w:rsidR="00B32E7F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(akceptacyjne) aparatu PET/CT </w:t>
            </w: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>oraz urządzeń pomocniczych w zakresie wymaganym przez prod</w:t>
            </w:r>
            <w:r w:rsidR="004C3786">
              <w:rPr>
                <w:rFonts w:ascii="Times New Roman" w:eastAsia="Times New Roman" w:hAnsi="Times New Roman" w:cs="Times New Roman"/>
                <w:noProof/>
                <w:color w:val="000000"/>
              </w:rPr>
              <w:t>ucenta poszczególnych elementów.</w:t>
            </w:r>
          </w:p>
          <w:p w14:paraId="563D52FB" w14:textId="65B799DC" w:rsidR="009E1D6C" w:rsidRPr="00F116A5" w:rsidRDefault="009E1D6C" w:rsidP="00B32E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Testy </w:t>
            </w:r>
            <w:r w:rsidR="003323CC">
              <w:rPr>
                <w:rFonts w:ascii="Times New Roman" w:eastAsia="Times New Roman" w:hAnsi="Times New Roman" w:cs="Times New Roman"/>
                <w:noProof/>
                <w:color w:val="000000"/>
              </w:rPr>
              <w:t>eksploatacyjne (</w:t>
            </w: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>specjalistyczne</w:t>
            </w:r>
            <w:r w:rsidR="003323C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i podstawowe)</w:t>
            </w: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aparatu PET/CT oraz urządzeń pomocniczych zgodnie z wymogami prawa;</w:t>
            </w:r>
            <w:bookmarkStart w:id="1" w:name="_GoBack"/>
            <w:bookmarkEnd w:id="1"/>
          </w:p>
        </w:tc>
        <w:tc>
          <w:tcPr>
            <w:tcW w:w="1560" w:type="dxa"/>
            <w:vAlign w:val="center"/>
          </w:tcPr>
          <w:p w14:paraId="09A55BA0" w14:textId="59001775" w:rsidR="009E1D6C" w:rsidRDefault="009E1D6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27B8C6F1" w14:textId="77777777" w:rsidR="009E1D6C" w:rsidRPr="000353C4" w:rsidRDefault="009E1D6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6B4DFC4" w14:textId="67C1222F" w:rsidR="009E1D6C" w:rsidRDefault="009E1D6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D6C" w:rsidRPr="000353C4" w14:paraId="4AE4578A" w14:textId="77777777" w:rsidTr="006A1817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A5F7448" w14:textId="77777777" w:rsidR="009E1D6C" w:rsidRPr="000353C4" w:rsidRDefault="009E1D6C" w:rsidP="00A74B5C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6AFCD5A1" w14:textId="31A734AC" w:rsidR="009E1D6C" w:rsidRPr="00F116A5" w:rsidRDefault="009E1D6C" w:rsidP="009E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E1D6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Wykonawca wykona wszelkie inne pomiary, projekty, badania i oznakowanie pomieszczeń zgodnie z aktualnymi przepisami oraz przeprowadzi stosowne próby i odbiory,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koszty po stronie Wykonawcy.</w:t>
            </w:r>
          </w:p>
        </w:tc>
        <w:tc>
          <w:tcPr>
            <w:tcW w:w="1560" w:type="dxa"/>
            <w:vAlign w:val="center"/>
          </w:tcPr>
          <w:p w14:paraId="009C7BC7" w14:textId="3EDEF384" w:rsidR="009E1D6C" w:rsidRDefault="009E1D6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0E451F31" w14:textId="77777777" w:rsidR="009E1D6C" w:rsidRPr="000353C4" w:rsidRDefault="009E1D6C" w:rsidP="00A74B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CCA607D" w14:textId="4472BA87" w:rsidR="009E1D6C" w:rsidRDefault="009E1D6C" w:rsidP="00A74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1C3D68" w14:textId="77777777" w:rsidR="00D365AD" w:rsidRPr="000353C4" w:rsidRDefault="00D365AD" w:rsidP="00EA4942">
      <w:pPr>
        <w:rPr>
          <w:rFonts w:ascii="Times New Roman" w:hAnsi="Times New Roman" w:cs="Times New Roman"/>
        </w:rPr>
      </w:pPr>
    </w:p>
    <w:sectPr w:rsidR="00D365AD" w:rsidRPr="000353C4" w:rsidSect="00522CD2">
      <w:headerReference w:type="default" r:id="rId8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4D63E" w14:textId="77777777" w:rsidR="00843179" w:rsidRDefault="00843179" w:rsidP="002D227C">
      <w:pPr>
        <w:spacing w:after="0" w:line="240" w:lineRule="auto"/>
      </w:pPr>
      <w:r>
        <w:separator/>
      </w:r>
    </w:p>
  </w:endnote>
  <w:endnote w:type="continuationSeparator" w:id="0">
    <w:p w14:paraId="0EA82641" w14:textId="77777777" w:rsidR="00843179" w:rsidRDefault="00843179" w:rsidP="002D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8BD51" w14:textId="77777777" w:rsidR="00843179" w:rsidRDefault="00843179" w:rsidP="002D227C">
      <w:pPr>
        <w:spacing w:after="0" w:line="240" w:lineRule="auto"/>
      </w:pPr>
      <w:r>
        <w:separator/>
      </w:r>
    </w:p>
  </w:footnote>
  <w:footnote w:type="continuationSeparator" w:id="0">
    <w:p w14:paraId="113FA64F" w14:textId="77777777" w:rsidR="00843179" w:rsidRDefault="00843179" w:rsidP="002D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FC6A4" w14:textId="20FB158F" w:rsidR="00843179" w:rsidRDefault="00843179">
    <w:pPr>
      <w:pStyle w:val="Nagwek"/>
    </w:pPr>
    <w:r>
      <w:rPr>
        <w:noProof/>
      </w:rPr>
      <w:drawing>
        <wp:inline distT="0" distB="0" distL="0" distR="0" wp14:anchorId="5B76C93E" wp14:editId="3AF59AAE">
          <wp:extent cx="5759450" cy="5807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FB860034"/>
    <w:lvl w:ilvl="0" w:tplc="527A65F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80E23"/>
    <w:multiLevelType w:val="hybridMultilevel"/>
    <w:tmpl w:val="1C8A43D4"/>
    <w:lvl w:ilvl="0" w:tplc="1FA2DD50">
      <w:start w:val="1"/>
      <w:numFmt w:val="decimal"/>
      <w:lvlText w:val="%1."/>
      <w:lvlJc w:val="righ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1F42140"/>
    <w:multiLevelType w:val="hybridMultilevel"/>
    <w:tmpl w:val="2B98ECE2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0A21"/>
    <w:multiLevelType w:val="hybridMultilevel"/>
    <w:tmpl w:val="7F5EB118"/>
    <w:lvl w:ilvl="0" w:tplc="ED50A432">
      <w:start w:val="1"/>
      <w:numFmt w:val="decimal"/>
      <w:lvlText w:val="%1."/>
      <w:lvlJc w:val="left"/>
      <w:pPr>
        <w:ind w:left="453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A2DD5"/>
    <w:multiLevelType w:val="hybridMultilevel"/>
    <w:tmpl w:val="009243E0"/>
    <w:lvl w:ilvl="0" w:tplc="BE94AA4A">
      <w:start w:val="2"/>
      <w:numFmt w:val="decimal"/>
      <w:lvlText w:val="%1."/>
      <w:lvlJc w:val="righ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84F9F"/>
    <w:multiLevelType w:val="hybridMultilevel"/>
    <w:tmpl w:val="D86E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51EF"/>
    <w:multiLevelType w:val="hybridMultilevel"/>
    <w:tmpl w:val="20C81834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C65B9"/>
    <w:multiLevelType w:val="hybridMultilevel"/>
    <w:tmpl w:val="B052C9B0"/>
    <w:lvl w:ilvl="0" w:tplc="93F6D3A4">
      <w:start w:val="1"/>
      <w:numFmt w:val="decimal"/>
      <w:lvlText w:val="%1."/>
      <w:lvlJc w:val="right"/>
      <w:pPr>
        <w:ind w:left="340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449F5"/>
    <w:multiLevelType w:val="hybridMultilevel"/>
    <w:tmpl w:val="DD62BC42"/>
    <w:lvl w:ilvl="0" w:tplc="D43A65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43F4F"/>
    <w:multiLevelType w:val="multilevel"/>
    <w:tmpl w:val="5998AB50"/>
    <w:styleLink w:val="WWNum21"/>
    <w:lvl w:ilvl="0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15" w15:restartNumberingAfterBreak="0">
    <w:nsid w:val="6BE33E45"/>
    <w:multiLevelType w:val="hybridMultilevel"/>
    <w:tmpl w:val="3E5EFCD2"/>
    <w:lvl w:ilvl="0" w:tplc="6C94C604">
      <w:start w:val="1"/>
      <w:numFmt w:val="decimal"/>
      <w:lvlText w:val="%1."/>
      <w:lvlJc w:val="left"/>
      <w:pPr>
        <w:ind w:left="56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9126E"/>
    <w:multiLevelType w:val="hybridMultilevel"/>
    <w:tmpl w:val="220EBB3E"/>
    <w:lvl w:ilvl="0" w:tplc="D5C21F1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8"/>
  </w:num>
  <w:num w:numId="6">
    <w:abstractNumId w:val="12"/>
  </w:num>
  <w:num w:numId="7">
    <w:abstractNumId w:val="17"/>
  </w:num>
  <w:num w:numId="8">
    <w:abstractNumId w:val="7"/>
  </w:num>
  <w:num w:numId="9">
    <w:abstractNumId w:val="15"/>
  </w:num>
  <w:num w:numId="10">
    <w:abstractNumId w:val="5"/>
  </w:num>
  <w:num w:numId="11">
    <w:abstractNumId w:val="11"/>
  </w:num>
  <w:num w:numId="12">
    <w:abstractNumId w:val="9"/>
  </w:num>
  <w:num w:numId="13">
    <w:abstractNumId w:val="4"/>
  </w:num>
  <w:num w:numId="14">
    <w:abstractNumId w:val="8"/>
  </w:num>
  <w:num w:numId="15">
    <w:abstractNumId w:val="16"/>
  </w:num>
  <w:num w:numId="16">
    <w:abstractNumId w:val="3"/>
  </w:num>
  <w:num w:numId="17">
    <w:abstractNumId w:val="6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71D"/>
    <w:rsid w:val="000029B9"/>
    <w:rsid w:val="00006587"/>
    <w:rsid w:val="000151F3"/>
    <w:rsid w:val="00025E57"/>
    <w:rsid w:val="00027D47"/>
    <w:rsid w:val="0004523C"/>
    <w:rsid w:val="00061651"/>
    <w:rsid w:val="00063ED4"/>
    <w:rsid w:val="00064943"/>
    <w:rsid w:val="00067DA3"/>
    <w:rsid w:val="00082DA0"/>
    <w:rsid w:val="0009108D"/>
    <w:rsid w:val="000B2D4A"/>
    <w:rsid w:val="000B3152"/>
    <w:rsid w:val="000D0447"/>
    <w:rsid w:val="000D4FF3"/>
    <w:rsid w:val="000E1944"/>
    <w:rsid w:val="0010610C"/>
    <w:rsid w:val="00106783"/>
    <w:rsid w:val="00110F44"/>
    <w:rsid w:val="00113408"/>
    <w:rsid w:val="001337A8"/>
    <w:rsid w:val="00136883"/>
    <w:rsid w:val="00140F85"/>
    <w:rsid w:val="00146349"/>
    <w:rsid w:val="00150E93"/>
    <w:rsid w:val="00167F5B"/>
    <w:rsid w:val="0018637E"/>
    <w:rsid w:val="001944B8"/>
    <w:rsid w:val="001B06A8"/>
    <w:rsid w:val="001B12E0"/>
    <w:rsid w:val="001B3DA7"/>
    <w:rsid w:val="001C3DA8"/>
    <w:rsid w:val="001C656A"/>
    <w:rsid w:val="001C65CC"/>
    <w:rsid w:val="001D39B1"/>
    <w:rsid w:val="001D5E4A"/>
    <w:rsid w:val="001E6783"/>
    <w:rsid w:val="001F1B6D"/>
    <w:rsid w:val="001F27F0"/>
    <w:rsid w:val="0023273A"/>
    <w:rsid w:val="002338FD"/>
    <w:rsid w:val="002406BD"/>
    <w:rsid w:val="002450F6"/>
    <w:rsid w:val="00253E9B"/>
    <w:rsid w:val="00254BDA"/>
    <w:rsid w:val="0025639D"/>
    <w:rsid w:val="00261B36"/>
    <w:rsid w:val="00262341"/>
    <w:rsid w:val="00272C14"/>
    <w:rsid w:val="002B5995"/>
    <w:rsid w:val="002C70E9"/>
    <w:rsid w:val="002C7653"/>
    <w:rsid w:val="002D227C"/>
    <w:rsid w:val="002D601C"/>
    <w:rsid w:val="002D692D"/>
    <w:rsid w:val="002E6C14"/>
    <w:rsid w:val="00304216"/>
    <w:rsid w:val="00325ABF"/>
    <w:rsid w:val="003317FC"/>
    <w:rsid w:val="003323CC"/>
    <w:rsid w:val="003366ED"/>
    <w:rsid w:val="00340F3B"/>
    <w:rsid w:val="00350054"/>
    <w:rsid w:val="003513AC"/>
    <w:rsid w:val="00375C2A"/>
    <w:rsid w:val="00390250"/>
    <w:rsid w:val="00390CCE"/>
    <w:rsid w:val="003A1675"/>
    <w:rsid w:val="003A405F"/>
    <w:rsid w:val="003A7E7B"/>
    <w:rsid w:val="003B3074"/>
    <w:rsid w:val="003B3539"/>
    <w:rsid w:val="003C4B96"/>
    <w:rsid w:val="003D115E"/>
    <w:rsid w:val="003D46C1"/>
    <w:rsid w:val="003D5445"/>
    <w:rsid w:val="003D6E2C"/>
    <w:rsid w:val="003E293E"/>
    <w:rsid w:val="003E3325"/>
    <w:rsid w:val="003F7C8D"/>
    <w:rsid w:val="004077E1"/>
    <w:rsid w:val="00413A98"/>
    <w:rsid w:val="004328E2"/>
    <w:rsid w:val="004378BD"/>
    <w:rsid w:val="00450409"/>
    <w:rsid w:val="0045164F"/>
    <w:rsid w:val="00452091"/>
    <w:rsid w:val="00453076"/>
    <w:rsid w:val="00456CFE"/>
    <w:rsid w:val="004706B3"/>
    <w:rsid w:val="00480DC3"/>
    <w:rsid w:val="004C1E4D"/>
    <w:rsid w:val="004C3786"/>
    <w:rsid w:val="004D2963"/>
    <w:rsid w:val="004D298F"/>
    <w:rsid w:val="004E07C3"/>
    <w:rsid w:val="004E40BF"/>
    <w:rsid w:val="004E5E39"/>
    <w:rsid w:val="004F124F"/>
    <w:rsid w:val="004F22ED"/>
    <w:rsid w:val="004F5800"/>
    <w:rsid w:val="004F669A"/>
    <w:rsid w:val="00504AA7"/>
    <w:rsid w:val="00522CD2"/>
    <w:rsid w:val="005401D1"/>
    <w:rsid w:val="00546624"/>
    <w:rsid w:val="005518BE"/>
    <w:rsid w:val="00580276"/>
    <w:rsid w:val="0058106B"/>
    <w:rsid w:val="00582516"/>
    <w:rsid w:val="00587657"/>
    <w:rsid w:val="005911A7"/>
    <w:rsid w:val="005913C2"/>
    <w:rsid w:val="00592DCD"/>
    <w:rsid w:val="005A659E"/>
    <w:rsid w:val="005C1FC1"/>
    <w:rsid w:val="005C7542"/>
    <w:rsid w:val="005D24E5"/>
    <w:rsid w:val="005D3217"/>
    <w:rsid w:val="005E1415"/>
    <w:rsid w:val="005F40F1"/>
    <w:rsid w:val="005F5F0A"/>
    <w:rsid w:val="00610532"/>
    <w:rsid w:val="0061375F"/>
    <w:rsid w:val="00623F26"/>
    <w:rsid w:val="00626537"/>
    <w:rsid w:val="00636F70"/>
    <w:rsid w:val="00637AA3"/>
    <w:rsid w:val="00655F95"/>
    <w:rsid w:val="006649AD"/>
    <w:rsid w:val="00664E8E"/>
    <w:rsid w:val="00694BE4"/>
    <w:rsid w:val="006A1817"/>
    <w:rsid w:val="006A1D2F"/>
    <w:rsid w:val="006C35ED"/>
    <w:rsid w:val="006D3AEE"/>
    <w:rsid w:val="006D4202"/>
    <w:rsid w:val="006D4693"/>
    <w:rsid w:val="006D6D73"/>
    <w:rsid w:val="006E34CD"/>
    <w:rsid w:val="00702F4F"/>
    <w:rsid w:val="00712605"/>
    <w:rsid w:val="00713611"/>
    <w:rsid w:val="00726FEC"/>
    <w:rsid w:val="0074226E"/>
    <w:rsid w:val="00763B6B"/>
    <w:rsid w:val="00775BA2"/>
    <w:rsid w:val="00781E31"/>
    <w:rsid w:val="00785353"/>
    <w:rsid w:val="0078673E"/>
    <w:rsid w:val="00794794"/>
    <w:rsid w:val="007A118C"/>
    <w:rsid w:val="007A2688"/>
    <w:rsid w:val="007A43A9"/>
    <w:rsid w:val="007B5B77"/>
    <w:rsid w:val="007D1035"/>
    <w:rsid w:val="007E0A4D"/>
    <w:rsid w:val="007F40B3"/>
    <w:rsid w:val="007F53F9"/>
    <w:rsid w:val="0080421B"/>
    <w:rsid w:val="00804DA5"/>
    <w:rsid w:val="00812FCC"/>
    <w:rsid w:val="00843179"/>
    <w:rsid w:val="00846B02"/>
    <w:rsid w:val="008544CC"/>
    <w:rsid w:val="00876954"/>
    <w:rsid w:val="00882DDA"/>
    <w:rsid w:val="008841D3"/>
    <w:rsid w:val="00893242"/>
    <w:rsid w:val="00893262"/>
    <w:rsid w:val="008A4DB4"/>
    <w:rsid w:val="008B3045"/>
    <w:rsid w:val="008C1C05"/>
    <w:rsid w:val="008C2268"/>
    <w:rsid w:val="008C2B72"/>
    <w:rsid w:val="008D045D"/>
    <w:rsid w:val="008E1FC0"/>
    <w:rsid w:val="008F0FC5"/>
    <w:rsid w:val="00903781"/>
    <w:rsid w:val="00911AC3"/>
    <w:rsid w:val="00927DAD"/>
    <w:rsid w:val="00931230"/>
    <w:rsid w:val="0094703A"/>
    <w:rsid w:val="009573FD"/>
    <w:rsid w:val="00965604"/>
    <w:rsid w:val="00972876"/>
    <w:rsid w:val="009734DC"/>
    <w:rsid w:val="00983C54"/>
    <w:rsid w:val="00990573"/>
    <w:rsid w:val="00996295"/>
    <w:rsid w:val="009B48C9"/>
    <w:rsid w:val="009C0C95"/>
    <w:rsid w:val="009C5106"/>
    <w:rsid w:val="009C63A7"/>
    <w:rsid w:val="009C7D91"/>
    <w:rsid w:val="009E1D6C"/>
    <w:rsid w:val="009E6C8C"/>
    <w:rsid w:val="009F67AC"/>
    <w:rsid w:val="00A00A6C"/>
    <w:rsid w:val="00A03CE5"/>
    <w:rsid w:val="00A03E25"/>
    <w:rsid w:val="00A219FE"/>
    <w:rsid w:val="00A463A5"/>
    <w:rsid w:val="00A502B9"/>
    <w:rsid w:val="00A540B2"/>
    <w:rsid w:val="00A615B9"/>
    <w:rsid w:val="00A66967"/>
    <w:rsid w:val="00A70A42"/>
    <w:rsid w:val="00A70C68"/>
    <w:rsid w:val="00A74B5C"/>
    <w:rsid w:val="00A75C0F"/>
    <w:rsid w:val="00A85E8D"/>
    <w:rsid w:val="00A86211"/>
    <w:rsid w:val="00AA06D5"/>
    <w:rsid w:val="00AA14E0"/>
    <w:rsid w:val="00AA2694"/>
    <w:rsid w:val="00AA278C"/>
    <w:rsid w:val="00AB5268"/>
    <w:rsid w:val="00AC7405"/>
    <w:rsid w:val="00AD6A7F"/>
    <w:rsid w:val="00AF26FD"/>
    <w:rsid w:val="00AF7964"/>
    <w:rsid w:val="00AF7C66"/>
    <w:rsid w:val="00B044CE"/>
    <w:rsid w:val="00B139C8"/>
    <w:rsid w:val="00B22EE5"/>
    <w:rsid w:val="00B32E7F"/>
    <w:rsid w:val="00B3586D"/>
    <w:rsid w:val="00B4549D"/>
    <w:rsid w:val="00B457E2"/>
    <w:rsid w:val="00B50C83"/>
    <w:rsid w:val="00B579AF"/>
    <w:rsid w:val="00B7020B"/>
    <w:rsid w:val="00B73A90"/>
    <w:rsid w:val="00B76E4D"/>
    <w:rsid w:val="00B84BCF"/>
    <w:rsid w:val="00B84E63"/>
    <w:rsid w:val="00B90819"/>
    <w:rsid w:val="00B92638"/>
    <w:rsid w:val="00BB128A"/>
    <w:rsid w:val="00BB2B04"/>
    <w:rsid w:val="00BB71BF"/>
    <w:rsid w:val="00BC514A"/>
    <w:rsid w:val="00BE4B0E"/>
    <w:rsid w:val="00BE769A"/>
    <w:rsid w:val="00BF76D3"/>
    <w:rsid w:val="00C026E7"/>
    <w:rsid w:val="00C04023"/>
    <w:rsid w:val="00C072F9"/>
    <w:rsid w:val="00C11F28"/>
    <w:rsid w:val="00C20316"/>
    <w:rsid w:val="00C31925"/>
    <w:rsid w:val="00C3632F"/>
    <w:rsid w:val="00C36CBA"/>
    <w:rsid w:val="00C52C2D"/>
    <w:rsid w:val="00C55523"/>
    <w:rsid w:val="00C65C0A"/>
    <w:rsid w:val="00C65DEC"/>
    <w:rsid w:val="00C66180"/>
    <w:rsid w:val="00C7189D"/>
    <w:rsid w:val="00C91313"/>
    <w:rsid w:val="00C93699"/>
    <w:rsid w:val="00CC068F"/>
    <w:rsid w:val="00CE1634"/>
    <w:rsid w:val="00CE3E19"/>
    <w:rsid w:val="00CE4BB0"/>
    <w:rsid w:val="00CE77A3"/>
    <w:rsid w:val="00CF2596"/>
    <w:rsid w:val="00D031E8"/>
    <w:rsid w:val="00D0573D"/>
    <w:rsid w:val="00D05841"/>
    <w:rsid w:val="00D22A2F"/>
    <w:rsid w:val="00D311E8"/>
    <w:rsid w:val="00D365AD"/>
    <w:rsid w:val="00D448A4"/>
    <w:rsid w:val="00D46963"/>
    <w:rsid w:val="00D72855"/>
    <w:rsid w:val="00D748FC"/>
    <w:rsid w:val="00D77496"/>
    <w:rsid w:val="00D87C43"/>
    <w:rsid w:val="00DA324F"/>
    <w:rsid w:val="00DA66A1"/>
    <w:rsid w:val="00DC152D"/>
    <w:rsid w:val="00DC1FD3"/>
    <w:rsid w:val="00DD325A"/>
    <w:rsid w:val="00DD453D"/>
    <w:rsid w:val="00DE08E9"/>
    <w:rsid w:val="00DE6618"/>
    <w:rsid w:val="00DF45BA"/>
    <w:rsid w:val="00E03E51"/>
    <w:rsid w:val="00E1442C"/>
    <w:rsid w:val="00E16C8F"/>
    <w:rsid w:val="00E24D14"/>
    <w:rsid w:val="00E2694B"/>
    <w:rsid w:val="00E27087"/>
    <w:rsid w:val="00E47C9F"/>
    <w:rsid w:val="00E52201"/>
    <w:rsid w:val="00E5757E"/>
    <w:rsid w:val="00E611A7"/>
    <w:rsid w:val="00E62BA6"/>
    <w:rsid w:val="00E62D68"/>
    <w:rsid w:val="00E7461F"/>
    <w:rsid w:val="00E827E4"/>
    <w:rsid w:val="00E866B9"/>
    <w:rsid w:val="00E8704A"/>
    <w:rsid w:val="00E91572"/>
    <w:rsid w:val="00E91B70"/>
    <w:rsid w:val="00EA4942"/>
    <w:rsid w:val="00EA4951"/>
    <w:rsid w:val="00EB15F2"/>
    <w:rsid w:val="00EC31D5"/>
    <w:rsid w:val="00EC3F6C"/>
    <w:rsid w:val="00EE0B70"/>
    <w:rsid w:val="00F05E0A"/>
    <w:rsid w:val="00F361E8"/>
    <w:rsid w:val="00F36589"/>
    <w:rsid w:val="00F3752E"/>
    <w:rsid w:val="00F63289"/>
    <w:rsid w:val="00F709A8"/>
    <w:rsid w:val="00F75ABF"/>
    <w:rsid w:val="00F82A8E"/>
    <w:rsid w:val="00F93E49"/>
    <w:rsid w:val="00FA11E1"/>
    <w:rsid w:val="00FA77D1"/>
    <w:rsid w:val="00FC6A73"/>
    <w:rsid w:val="00FC7603"/>
    <w:rsid w:val="00FD127B"/>
    <w:rsid w:val="00FD5470"/>
    <w:rsid w:val="00FD6D56"/>
    <w:rsid w:val="00FE0080"/>
    <w:rsid w:val="00FE6597"/>
    <w:rsid w:val="00FE6910"/>
    <w:rsid w:val="00FE6E75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BF1B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61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27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27C"/>
    <w:rPr>
      <w:rFonts w:eastAsiaTheme="minorEastAsia"/>
      <w:lang w:eastAsia="pl-PL"/>
    </w:rPr>
  </w:style>
  <w:style w:type="paragraph" w:customStyle="1" w:styleId="Standard">
    <w:name w:val="Standard"/>
    <w:rsid w:val="00EE0B7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pl-PL"/>
    </w:rPr>
  </w:style>
  <w:style w:type="paragraph" w:customStyle="1" w:styleId="WW-Tekstpodstawowy21">
    <w:name w:val="WW-Tekst podstawowy 21"/>
    <w:basedOn w:val="Standard"/>
    <w:rsid w:val="00AA278C"/>
    <w:pPr>
      <w:spacing w:after="0" w:line="240" w:lineRule="auto"/>
      <w:ind w:right="-284"/>
    </w:pPr>
    <w:rPr>
      <w:rFonts w:ascii="Arial" w:eastAsia="Arial" w:hAnsi="Arial" w:cs="Arial"/>
      <w:sz w:val="20"/>
      <w:szCs w:val="20"/>
      <w:lang w:eastAsia="zh-CN"/>
    </w:rPr>
  </w:style>
  <w:style w:type="numbering" w:customStyle="1" w:styleId="WWNum21">
    <w:name w:val="WWNum21"/>
    <w:basedOn w:val="Bezlisty"/>
    <w:rsid w:val="00E827E4"/>
    <w:pPr>
      <w:numPr>
        <w:numId w:val="1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8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8BE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7AD9-F925-4ECE-88C0-EC0C2397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5711</Words>
  <Characters>34271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Lesław Peter</cp:lastModifiedBy>
  <cp:revision>6</cp:revision>
  <dcterms:created xsi:type="dcterms:W3CDTF">2025-10-24T12:36:00Z</dcterms:created>
  <dcterms:modified xsi:type="dcterms:W3CDTF">2025-10-31T09:13:00Z</dcterms:modified>
</cp:coreProperties>
</file>