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78FACB23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FA3872">
        <w:t>1</w:t>
      </w:r>
      <w:r w:rsidRPr="00720AAC">
        <w:t xml:space="preserve"> do zapytania nr SGA.261.</w:t>
      </w:r>
      <w:r w:rsidR="00201AE6">
        <w:t>3</w:t>
      </w:r>
      <w:r w:rsidR="00866374">
        <w:t>7</w:t>
      </w:r>
      <w:r w:rsidRPr="00720AAC">
        <w:t>.2025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>(Parametry techniczn</w:t>
      </w:r>
      <w:r>
        <w:t>o</w:t>
      </w:r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73C43FEB" w:rsidR="00E510D3" w:rsidRPr="003F0DCA" w:rsidRDefault="00866374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66374">
        <w:rPr>
          <w:rFonts w:ascii="Times New Roman" w:hAnsi="Times New Roman" w:cs="Times New Roman"/>
          <w:sz w:val="24"/>
        </w:rPr>
        <w:t>Urządzenie do ogrzewania krwi i płynów infuzyjnych</w:t>
      </w:r>
      <w:r w:rsidRPr="005411DC">
        <w:rPr>
          <w:rFonts w:asciiTheme="minorHAnsi" w:hAnsiTheme="minorHAnsi"/>
          <w:sz w:val="20"/>
          <w:szCs w:val="20"/>
        </w:rPr>
        <w:t xml:space="preserve"> </w:t>
      </w:r>
      <w:r w:rsidR="00201AE6">
        <w:rPr>
          <w:rFonts w:ascii="Times New Roman" w:hAnsi="Times New Roman" w:cs="Times New Roman"/>
          <w:sz w:val="24"/>
        </w:rPr>
        <w:t xml:space="preserve">– szt. 1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E055CF" w:rsidRDefault="001A38D6" w:rsidP="00DB30B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E055CF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Urządzenie oraz wszystkie elementy składowe -  fabrycznie nowe, rok produkcji 2025</w:t>
            </w:r>
          </w:p>
        </w:tc>
        <w:tc>
          <w:tcPr>
            <w:tcW w:w="1765" w:type="dxa"/>
            <w:vAlign w:val="center"/>
          </w:tcPr>
          <w:p w14:paraId="50026267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F01191" w:rsidRPr="00E055CF" w14:paraId="587F786C" w14:textId="77777777" w:rsidTr="00C64EDE">
        <w:tc>
          <w:tcPr>
            <w:tcW w:w="567" w:type="dxa"/>
          </w:tcPr>
          <w:p w14:paraId="0C518DA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FB50BAD" w14:textId="7E70CF05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Suchy przepływowy podgrzewacz do krwi i płynów infuzyjnych</w:t>
            </w:r>
          </w:p>
        </w:tc>
        <w:tc>
          <w:tcPr>
            <w:tcW w:w="1765" w:type="dxa"/>
            <w:vAlign w:val="center"/>
          </w:tcPr>
          <w:p w14:paraId="4F8DBFEB" w14:textId="48C2F857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C086C9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A3CDE5D" w14:textId="77777777" w:rsidTr="00C64EDE">
        <w:tc>
          <w:tcPr>
            <w:tcW w:w="567" w:type="dxa"/>
          </w:tcPr>
          <w:p w14:paraId="67C0C40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92C90A9" w14:textId="7ABDEF74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Możliwość bezpiecznego stosowania do krwi i płynów infuzyjnych</w:t>
            </w:r>
          </w:p>
        </w:tc>
        <w:tc>
          <w:tcPr>
            <w:tcW w:w="1765" w:type="dxa"/>
            <w:vAlign w:val="center"/>
          </w:tcPr>
          <w:p w14:paraId="6DB6A0F9" w14:textId="63982AC7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24A5AC9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5D2BDB01" w14:textId="77777777" w:rsidTr="00955E1E">
        <w:tc>
          <w:tcPr>
            <w:tcW w:w="567" w:type="dxa"/>
          </w:tcPr>
          <w:p w14:paraId="2D3BBBF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7A71925" w14:textId="5FADF506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Możliwość stosowania standardowych przyrządów do przetoczeń krwi lub płynów infuzyjnych</w:t>
            </w:r>
          </w:p>
        </w:tc>
        <w:tc>
          <w:tcPr>
            <w:tcW w:w="1765" w:type="dxa"/>
            <w:vAlign w:val="center"/>
          </w:tcPr>
          <w:p w14:paraId="107C8A8B" w14:textId="2F9DD420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14DBB1C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B356D34" w14:textId="77777777" w:rsidTr="00955E1E">
        <w:tc>
          <w:tcPr>
            <w:tcW w:w="567" w:type="dxa"/>
          </w:tcPr>
          <w:p w14:paraId="767DAA8C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04C05C" w14:textId="7A122A88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 xml:space="preserve">Wymiennik ciepła w postaci </w:t>
            </w:r>
            <w:r>
              <w:rPr>
                <w:sz w:val="22"/>
                <w:szCs w:val="22"/>
              </w:rPr>
              <w:t xml:space="preserve">minimum </w:t>
            </w:r>
            <w:r w:rsidRPr="00F01191">
              <w:rPr>
                <w:sz w:val="22"/>
                <w:szCs w:val="22"/>
              </w:rPr>
              <w:t>dwóch niezależnie sterowanych, elastycznych profili grzewczych, o dł</w:t>
            </w:r>
            <w:r>
              <w:rPr>
                <w:sz w:val="22"/>
                <w:szCs w:val="22"/>
              </w:rPr>
              <w:t>ugości</w:t>
            </w:r>
            <w:r w:rsidRPr="00F011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min </w:t>
            </w:r>
            <w:r w:rsidRPr="00F011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00 cm, maksimum 200 cm </w:t>
            </w:r>
            <w:r w:rsidRPr="00F01191">
              <w:rPr>
                <w:sz w:val="22"/>
                <w:szCs w:val="22"/>
              </w:rPr>
              <w:t>każdy, w których umieszcza się dreny infuzyjne</w:t>
            </w:r>
          </w:p>
        </w:tc>
        <w:tc>
          <w:tcPr>
            <w:tcW w:w="1765" w:type="dxa"/>
            <w:vAlign w:val="center"/>
          </w:tcPr>
          <w:p w14:paraId="27545ADF" w14:textId="241044EC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6A2EE17E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E3A1F24" w14:textId="77777777" w:rsidTr="00955E1E">
        <w:tc>
          <w:tcPr>
            <w:tcW w:w="567" w:type="dxa"/>
          </w:tcPr>
          <w:p w14:paraId="1BAB141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D2DC884" w14:textId="1F30CC68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Wymiennik ciepła dostosowany do drenów infuzyjnych o średnicy 3,5 – 5,0 mm</w:t>
            </w:r>
          </w:p>
        </w:tc>
        <w:tc>
          <w:tcPr>
            <w:tcW w:w="1765" w:type="dxa"/>
            <w:vAlign w:val="center"/>
          </w:tcPr>
          <w:p w14:paraId="3072187E" w14:textId="2E1E6DE0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4634258" w14:textId="77777777" w:rsidTr="00955E1E">
        <w:tc>
          <w:tcPr>
            <w:tcW w:w="567" w:type="dxa"/>
          </w:tcPr>
          <w:p w14:paraId="46C9A9A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17D6193" w14:textId="743472DB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 xml:space="preserve">Możliwość regulacji temperatury w zakresie od </w:t>
            </w:r>
            <w:r>
              <w:rPr>
                <w:sz w:val="22"/>
                <w:szCs w:val="22"/>
              </w:rPr>
              <w:t xml:space="preserve">minimum </w:t>
            </w:r>
            <w:r w:rsidRPr="00F01191">
              <w:rPr>
                <w:sz w:val="22"/>
                <w:szCs w:val="22"/>
              </w:rPr>
              <w:t xml:space="preserve">33˚C do </w:t>
            </w:r>
            <w:r>
              <w:rPr>
                <w:sz w:val="22"/>
                <w:szCs w:val="22"/>
              </w:rPr>
              <w:t xml:space="preserve">minimum </w:t>
            </w:r>
            <w:r w:rsidRPr="00F01191">
              <w:rPr>
                <w:sz w:val="22"/>
                <w:szCs w:val="22"/>
              </w:rPr>
              <w:t>41˚C (co 0,1˚) niezależnie dla każdego kanału grzewczego</w:t>
            </w:r>
          </w:p>
        </w:tc>
        <w:tc>
          <w:tcPr>
            <w:tcW w:w="1765" w:type="dxa"/>
            <w:vAlign w:val="center"/>
          </w:tcPr>
          <w:p w14:paraId="02152750" w14:textId="5C53591E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0091D28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71630D9" w14:textId="77777777" w:rsidTr="00955E1E">
        <w:tc>
          <w:tcPr>
            <w:tcW w:w="567" w:type="dxa"/>
          </w:tcPr>
          <w:p w14:paraId="11B46478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07F0B29" w14:textId="4070C59A" w:rsidR="00F01191" w:rsidRPr="00F01191" w:rsidRDefault="00F01191" w:rsidP="004E26D2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Dokładność</w:t>
            </w:r>
            <w:r>
              <w:rPr>
                <w:sz w:val="22"/>
                <w:szCs w:val="22"/>
              </w:rPr>
              <w:t xml:space="preserve"> minim</w:t>
            </w:r>
            <w:r w:rsidR="004E26D2">
              <w:rPr>
                <w:sz w:val="22"/>
                <w:szCs w:val="22"/>
              </w:rPr>
              <w:t>um</w:t>
            </w:r>
            <w:r w:rsidRPr="00F01191">
              <w:rPr>
                <w:sz w:val="22"/>
                <w:szCs w:val="22"/>
              </w:rPr>
              <w:t>: ±1°C</w:t>
            </w:r>
          </w:p>
        </w:tc>
        <w:tc>
          <w:tcPr>
            <w:tcW w:w="1765" w:type="dxa"/>
            <w:vAlign w:val="center"/>
          </w:tcPr>
          <w:p w14:paraId="34DC0D3F" w14:textId="75634703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F5BC127" w14:textId="77777777" w:rsidTr="00955E1E">
        <w:tc>
          <w:tcPr>
            <w:tcW w:w="567" w:type="dxa"/>
          </w:tcPr>
          <w:p w14:paraId="28906C9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7A1AEF2" w14:textId="7CA83958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Duży i czytelny wyświetlacz temperatury dla każdego z kanałów grzewczych</w:t>
            </w:r>
          </w:p>
        </w:tc>
        <w:tc>
          <w:tcPr>
            <w:tcW w:w="1765" w:type="dxa"/>
            <w:vAlign w:val="center"/>
          </w:tcPr>
          <w:p w14:paraId="20C16391" w14:textId="5CACDD87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FD99D22" w14:textId="77777777" w:rsidTr="00955E1E">
        <w:tc>
          <w:tcPr>
            <w:tcW w:w="567" w:type="dxa"/>
          </w:tcPr>
          <w:p w14:paraId="0E0DD93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4523FCF" w14:textId="6EBB67EB" w:rsidR="00F01191" w:rsidRPr="00F01191" w:rsidRDefault="00F01191" w:rsidP="00F01191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Wizualny i dźwiękowy alarm wysokiej temperatury</w:t>
            </w:r>
          </w:p>
        </w:tc>
        <w:tc>
          <w:tcPr>
            <w:tcW w:w="1765" w:type="dxa"/>
            <w:vAlign w:val="center"/>
          </w:tcPr>
          <w:p w14:paraId="2266D094" w14:textId="268EA772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D5C723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71E2256" w14:textId="77777777" w:rsidTr="00955E1E">
        <w:tc>
          <w:tcPr>
            <w:tcW w:w="567" w:type="dxa"/>
          </w:tcPr>
          <w:p w14:paraId="4A6DF47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49BA8AAB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Wizualny i dźwiękowy sygnał niskiej temperatury przy 32 ±1°C</w:t>
            </w:r>
          </w:p>
        </w:tc>
        <w:tc>
          <w:tcPr>
            <w:tcW w:w="1765" w:type="dxa"/>
            <w:vAlign w:val="center"/>
          </w:tcPr>
          <w:p w14:paraId="126FB931" w14:textId="14669C30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5F00417" w14:textId="77777777" w:rsidTr="00955E1E">
        <w:tc>
          <w:tcPr>
            <w:tcW w:w="567" w:type="dxa"/>
          </w:tcPr>
          <w:p w14:paraId="7A17F3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3ED8F59" w14:textId="3F829DA7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Wizualne i dźwiękowe ostrzeżenie o awarii czujnika</w:t>
            </w:r>
          </w:p>
        </w:tc>
        <w:tc>
          <w:tcPr>
            <w:tcW w:w="1765" w:type="dxa"/>
            <w:vAlign w:val="center"/>
          </w:tcPr>
          <w:p w14:paraId="4BA0F11E" w14:textId="10E6DCB3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3FC2293" w14:textId="77777777" w:rsidTr="00955E1E">
        <w:tc>
          <w:tcPr>
            <w:tcW w:w="567" w:type="dxa"/>
          </w:tcPr>
          <w:p w14:paraId="03D99F01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EB5A920" w14:textId="03AD6804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Podwójne zabezpieczenie przed przegrzaniem – automatyczny wyłącznik w przypadku przekroczenia temperatury 42±1˚C/43 ±2˚C</w:t>
            </w:r>
          </w:p>
        </w:tc>
        <w:tc>
          <w:tcPr>
            <w:tcW w:w="1765" w:type="dxa"/>
            <w:vAlign w:val="center"/>
          </w:tcPr>
          <w:p w14:paraId="2A262092" w14:textId="2E7C22A4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13BC42C1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D2A3025" w14:textId="77777777" w:rsidTr="00955E1E">
        <w:tc>
          <w:tcPr>
            <w:tcW w:w="567" w:type="dxa"/>
          </w:tcPr>
          <w:p w14:paraId="4AC72B6E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5DA067B" w14:textId="6B49C877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 xml:space="preserve">Sterowanie mikroprocesorowe – system autokontroli </w:t>
            </w:r>
          </w:p>
        </w:tc>
        <w:tc>
          <w:tcPr>
            <w:tcW w:w="1765" w:type="dxa"/>
            <w:vAlign w:val="center"/>
          </w:tcPr>
          <w:p w14:paraId="28378FA0" w14:textId="089C63BC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7E75575D" w14:textId="77777777" w:rsidTr="00955E1E">
        <w:tc>
          <w:tcPr>
            <w:tcW w:w="567" w:type="dxa"/>
          </w:tcPr>
          <w:p w14:paraId="1685D0B6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6A4A4B8" w14:textId="72AAE95A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Szybki czas nagrzewania: mniej niż 2 min od 20˚C do 36˚C</w:t>
            </w:r>
          </w:p>
        </w:tc>
        <w:tc>
          <w:tcPr>
            <w:tcW w:w="1765" w:type="dxa"/>
            <w:vAlign w:val="center"/>
          </w:tcPr>
          <w:p w14:paraId="154FEF14" w14:textId="21C71B88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369389A3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0E32E9C" w14:textId="77777777" w:rsidTr="00955E1E">
        <w:tc>
          <w:tcPr>
            <w:tcW w:w="567" w:type="dxa"/>
          </w:tcPr>
          <w:p w14:paraId="76A592D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8FFB001" w14:textId="6E77F15E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Wydajność ogrzewania: min. 25 ml/min dla każdego kanału i min. 75 ml/min. w przypadku wykorzystania obu kanałów do podgrzania jednej infuzji</w:t>
            </w:r>
          </w:p>
        </w:tc>
        <w:tc>
          <w:tcPr>
            <w:tcW w:w="1765" w:type="dxa"/>
            <w:vAlign w:val="center"/>
          </w:tcPr>
          <w:p w14:paraId="140FE51E" w14:textId="0A738F80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40D55FB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2AF47C8" w14:textId="77777777" w:rsidTr="00955E1E">
        <w:tc>
          <w:tcPr>
            <w:tcW w:w="567" w:type="dxa"/>
          </w:tcPr>
          <w:p w14:paraId="167FD28B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0BCD6FE" w14:textId="6854B47B" w:rsidR="00F01191" w:rsidRPr="00F01191" w:rsidRDefault="00F01191" w:rsidP="005860E5">
            <w:pPr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Waga do 2</w:t>
            </w:r>
            <w:r w:rsidR="005860E5">
              <w:rPr>
                <w:sz w:val="22"/>
                <w:szCs w:val="22"/>
              </w:rPr>
              <w:t>,</w:t>
            </w:r>
            <w:r w:rsidRPr="00F01191">
              <w:rPr>
                <w:sz w:val="22"/>
                <w:szCs w:val="22"/>
              </w:rPr>
              <w:t>3</w:t>
            </w:r>
            <w:r w:rsidR="005860E5">
              <w:rPr>
                <w:sz w:val="22"/>
                <w:szCs w:val="22"/>
              </w:rPr>
              <w:t xml:space="preserve"> k</w:t>
            </w:r>
            <w:r w:rsidRPr="00F01191">
              <w:rPr>
                <w:sz w:val="22"/>
                <w:szCs w:val="22"/>
              </w:rPr>
              <w:t>g</w:t>
            </w:r>
          </w:p>
        </w:tc>
        <w:tc>
          <w:tcPr>
            <w:tcW w:w="1765" w:type="dxa"/>
            <w:vAlign w:val="center"/>
          </w:tcPr>
          <w:p w14:paraId="2790A677" w14:textId="65816340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734EF50D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4C69B91F" w14:textId="77777777" w:rsidTr="00955E1E">
        <w:tc>
          <w:tcPr>
            <w:tcW w:w="567" w:type="dxa"/>
          </w:tcPr>
          <w:p w14:paraId="330558A5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6F266F3B" w14:textId="2FC98A68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bCs/>
                <w:sz w:val="22"/>
                <w:szCs w:val="22"/>
              </w:rPr>
              <w:t>Możliwość zamocowania na stojakach do kroplówek o różnych średnicach za pomocą klamry montażowej</w:t>
            </w:r>
          </w:p>
        </w:tc>
        <w:tc>
          <w:tcPr>
            <w:tcW w:w="1765" w:type="dxa"/>
            <w:vAlign w:val="center"/>
          </w:tcPr>
          <w:p w14:paraId="30861A9A" w14:textId="61CF90CB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3B75CA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2B0C505" w14:textId="77777777" w:rsidTr="00955E1E">
        <w:tc>
          <w:tcPr>
            <w:tcW w:w="567" w:type="dxa"/>
          </w:tcPr>
          <w:p w14:paraId="64942C63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377B120" w14:textId="72F2B3DA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bCs/>
                <w:sz w:val="22"/>
                <w:szCs w:val="22"/>
              </w:rPr>
              <w:t>Wyświetlacz typu LED zawierający wskaźniki temperatury ustawionej, temperatury aktualnej, czasu nagrzewania, indykator ogrzewania, indykatory alarmów i sygnałów ostrzegawczych</w:t>
            </w:r>
          </w:p>
        </w:tc>
        <w:tc>
          <w:tcPr>
            <w:tcW w:w="1765" w:type="dxa"/>
            <w:vAlign w:val="center"/>
          </w:tcPr>
          <w:p w14:paraId="41D2E653" w14:textId="63EAB8EA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2DAE5DA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23A55CB4" w14:textId="77777777" w:rsidTr="00955E1E">
        <w:tc>
          <w:tcPr>
            <w:tcW w:w="567" w:type="dxa"/>
          </w:tcPr>
          <w:p w14:paraId="42832F14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DB1D913" w14:textId="3EC4D9A0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bCs/>
                <w:sz w:val="22"/>
                <w:szCs w:val="22"/>
              </w:rPr>
              <w:t>Obsługa za pomocą przycisków membranowych – co najmniej przyciski regulacji temperatury góra/dół, przycisk aktywacji ogrzewania</w:t>
            </w:r>
          </w:p>
        </w:tc>
        <w:tc>
          <w:tcPr>
            <w:tcW w:w="1765" w:type="dxa"/>
            <w:vAlign w:val="center"/>
          </w:tcPr>
          <w:p w14:paraId="6AE17A54" w14:textId="20DDA931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71ECCD8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539B7E9" w14:textId="77777777" w:rsidTr="00955E1E">
        <w:tc>
          <w:tcPr>
            <w:tcW w:w="567" w:type="dxa"/>
          </w:tcPr>
          <w:p w14:paraId="3E4CC0C2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18BBAA1" w14:textId="72B07D03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bCs/>
                <w:sz w:val="22"/>
                <w:szCs w:val="22"/>
              </w:rPr>
              <w:t>Nie dopuszcza się sterowania za pomocą dotykowych wyświetlaczy LCD/OLED, ze względu na utrudnioną obsługę w rękawiczkach oraz ryzyko uszkodzenia mechanicznego</w:t>
            </w:r>
          </w:p>
        </w:tc>
        <w:tc>
          <w:tcPr>
            <w:tcW w:w="1765" w:type="dxa"/>
            <w:vAlign w:val="center"/>
          </w:tcPr>
          <w:p w14:paraId="08837866" w14:textId="77B8CF7A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AEA69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1B5DC92" w14:textId="77777777" w:rsidTr="00955E1E">
        <w:tc>
          <w:tcPr>
            <w:tcW w:w="567" w:type="dxa"/>
          </w:tcPr>
          <w:p w14:paraId="50C44BA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15978543" w14:textId="07FC7109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bCs/>
                <w:sz w:val="22"/>
                <w:szCs w:val="22"/>
              </w:rPr>
              <w:t>Możliwość pracy ciągłej</w:t>
            </w:r>
          </w:p>
        </w:tc>
        <w:tc>
          <w:tcPr>
            <w:tcW w:w="1765" w:type="dxa"/>
            <w:vAlign w:val="center"/>
          </w:tcPr>
          <w:p w14:paraId="70E02045" w14:textId="7A892787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142FB77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C0E899E" w14:textId="77777777" w:rsidTr="00955E1E">
        <w:tc>
          <w:tcPr>
            <w:tcW w:w="567" w:type="dxa"/>
          </w:tcPr>
          <w:p w14:paraId="18DBACCD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3E80ED32" w14:textId="7ABE6E42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bCs/>
                <w:sz w:val="22"/>
                <w:szCs w:val="22"/>
              </w:rPr>
              <w:t>100-240 VAC / 50-60 Hz</w:t>
            </w:r>
          </w:p>
        </w:tc>
        <w:tc>
          <w:tcPr>
            <w:tcW w:w="1765" w:type="dxa"/>
            <w:vAlign w:val="center"/>
          </w:tcPr>
          <w:p w14:paraId="73185DE5" w14:textId="7698E2DE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8D70604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0319C502" w14:textId="77777777" w:rsidTr="00955E1E">
        <w:tc>
          <w:tcPr>
            <w:tcW w:w="567" w:type="dxa"/>
          </w:tcPr>
          <w:p w14:paraId="14C234C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96FDA4F" w14:textId="3993C741" w:rsidR="00F01191" w:rsidRPr="00F01191" w:rsidRDefault="0078001A" w:rsidP="0078001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Maksymalny pobór mocy </w:t>
            </w:r>
            <w:r w:rsidR="00F01191" w:rsidRPr="00F01191">
              <w:rPr>
                <w:bCs/>
                <w:sz w:val="22"/>
                <w:szCs w:val="22"/>
              </w:rPr>
              <w:t>180VA</w:t>
            </w:r>
          </w:p>
        </w:tc>
        <w:tc>
          <w:tcPr>
            <w:tcW w:w="1765" w:type="dxa"/>
            <w:vAlign w:val="center"/>
          </w:tcPr>
          <w:p w14:paraId="5316F9FD" w14:textId="7328AC40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33815154" w14:textId="77777777" w:rsidR="00F01191" w:rsidRPr="00E055CF" w:rsidRDefault="00F01191" w:rsidP="00F0119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01191" w:rsidRPr="00E055CF" w14:paraId="1E54C218" w14:textId="77777777" w:rsidTr="00955E1E">
        <w:tc>
          <w:tcPr>
            <w:tcW w:w="567" w:type="dxa"/>
          </w:tcPr>
          <w:p w14:paraId="0EA787C4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C1019DC" w14:textId="7A650FC7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bCs/>
                <w:sz w:val="22"/>
                <w:szCs w:val="22"/>
              </w:rPr>
              <w:t>Maksymalne wymiary urządzenia: 200 x 130 x 250 mm</w:t>
            </w:r>
          </w:p>
        </w:tc>
        <w:tc>
          <w:tcPr>
            <w:tcW w:w="1765" w:type="dxa"/>
            <w:vAlign w:val="center"/>
          </w:tcPr>
          <w:p w14:paraId="20BCEB7C" w14:textId="121B414D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0AA2B05E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9FF7C6E" w14:textId="77777777" w:rsidTr="00955E1E">
        <w:tc>
          <w:tcPr>
            <w:tcW w:w="567" w:type="dxa"/>
          </w:tcPr>
          <w:p w14:paraId="6A03B66D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2B7A6437" w14:textId="3AA4F220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bCs/>
                <w:sz w:val="22"/>
                <w:szCs w:val="22"/>
              </w:rPr>
              <w:t>Klasa zabezpieczenia elektrycznego I BF</w:t>
            </w:r>
          </w:p>
        </w:tc>
        <w:tc>
          <w:tcPr>
            <w:tcW w:w="1765" w:type="dxa"/>
            <w:vAlign w:val="center"/>
          </w:tcPr>
          <w:p w14:paraId="11636C0C" w14:textId="64E99695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2E34C893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618FBA58" w14:textId="77777777" w:rsidTr="00955E1E">
        <w:tc>
          <w:tcPr>
            <w:tcW w:w="567" w:type="dxa"/>
          </w:tcPr>
          <w:p w14:paraId="19555750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A03593F" w14:textId="7042AD9D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bCs/>
                <w:sz w:val="22"/>
                <w:szCs w:val="22"/>
              </w:rPr>
              <w:t>Klasa ochrony min IPX2</w:t>
            </w:r>
          </w:p>
        </w:tc>
        <w:tc>
          <w:tcPr>
            <w:tcW w:w="1765" w:type="dxa"/>
            <w:vAlign w:val="center"/>
          </w:tcPr>
          <w:p w14:paraId="6D83C723" w14:textId="490B57EC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737B704A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1F57D5CC" w14:textId="77777777" w:rsidTr="00955E1E">
        <w:tc>
          <w:tcPr>
            <w:tcW w:w="567" w:type="dxa"/>
          </w:tcPr>
          <w:p w14:paraId="61ECBEB9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25DA99B" w14:textId="5338C430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bCs/>
                <w:sz w:val="22"/>
                <w:szCs w:val="22"/>
              </w:rPr>
              <w:t>Wbudowane złącze wyrównania potencjałów</w:t>
            </w:r>
          </w:p>
        </w:tc>
        <w:tc>
          <w:tcPr>
            <w:tcW w:w="1765" w:type="dxa"/>
            <w:vAlign w:val="center"/>
          </w:tcPr>
          <w:p w14:paraId="6E407673" w14:textId="43CB3BE8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A0CFD2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76350C1A" w14:textId="77777777" w:rsidTr="00955E1E">
        <w:tc>
          <w:tcPr>
            <w:tcW w:w="567" w:type="dxa"/>
          </w:tcPr>
          <w:p w14:paraId="07B1C1CA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9640B38" w14:textId="268574BA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bCs/>
                <w:sz w:val="22"/>
                <w:szCs w:val="22"/>
              </w:rPr>
              <w:t xml:space="preserve">Wyrób medyczny </w:t>
            </w:r>
            <w:r w:rsidR="005860E5">
              <w:rPr>
                <w:bCs/>
                <w:sz w:val="22"/>
                <w:szCs w:val="22"/>
              </w:rPr>
              <w:t xml:space="preserve">minimum </w:t>
            </w:r>
            <w:r w:rsidRPr="00F01191">
              <w:rPr>
                <w:bCs/>
                <w:sz w:val="22"/>
                <w:szCs w:val="22"/>
              </w:rPr>
              <w:t>klasy IIb</w:t>
            </w:r>
          </w:p>
        </w:tc>
        <w:tc>
          <w:tcPr>
            <w:tcW w:w="1765" w:type="dxa"/>
            <w:vAlign w:val="center"/>
          </w:tcPr>
          <w:p w14:paraId="1E0F3CF6" w14:textId="54B9098A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49A2662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F01191" w:rsidRPr="00E055CF" w14:paraId="33F56696" w14:textId="77777777" w:rsidTr="00955E1E">
        <w:tc>
          <w:tcPr>
            <w:tcW w:w="567" w:type="dxa"/>
          </w:tcPr>
          <w:p w14:paraId="6C1E34E8" w14:textId="77777777" w:rsidR="00F01191" w:rsidRPr="00E055CF" w:rsidRDefault="00F01191" w:rsidP="00F011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DE0A509" w14:textId="59AFD6DC" w:rsidR="00F01191" w:rsidRPr="00F01191" w:rsidRDefault="00F01191" w:rsidP="00F01191">
            <w:pPr>
              <w:rPr>
                <w:sz w:val="22"/>
                <w:szCs w:val="22"/>
              </w:rPr>
            </w:pPr>
            <w:r w:rsidRPr="00F01191">
              <w:rPr>
                <w:bCs/>
                <w:sz w:val="22"/>
                <w:szCs w:val="22"/>
              </w:rPr>
              <w:t xml:space="preserve">Urządzenie spełniające wymagania normy ASTM F 2172-02, zgodnej ze standardową specyfikacją podgrzewaczy krwi </w:t>
            </w:r>
          </w:p>
        </w:tc>
        <w:tc>
          <w:tcPr>
            <w:tcW w:w="1765" w:type="dxa"/>
            <w:vAlign w:val="center"/>
          </w:tcPr>
          <w:p w14:paraId="0E2834BF" w14:textId="49D2AD0F" w:rsidR="00F01191" w:rsidRPr="00F01191" w:rsidRDefault="00F01191" w:rsidP="00F01191">
            <w:pPr>
              <w:jc w:val="center"/>
              <w:rPr>
                <w:sz w:val="22"/>
                <w:szCs w:val="22"/>
              </w:rPr>
            </w:pPr>
            <w:r w:rsidRPr="00F01191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77C3B22" w14:textId="77777777" w:rsidR="00F01191" w:rsidRPr="00E055CF" w:rsidRDefault="00F01191" w:rsidP="00F01191">
            <w:pPr>
              <w:rPr>
                <w:sz w:val="22"/>
                <w:szCs w:val="22"/>
              </w:rPr>
            </w:pPr>
          </w:p>
        </w:tc>
      </w:tr>
      <w:tr w:rsidR="00082DE2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082DE2" w:rsidRPr="008C779E" w:rsidRDefault="00082DE2" w:rsidP="00082DE2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201AE6" w:rsidRPr="00E055CF" w14:paraId="52F2724E" w14:textId="77777777" w:rsidTr="00201AE6">
        <w:tc>
          <w:tcPr>
            <w:tcW w:w="567" w:type="dxa"/>
          </w:tcPr>
          <w:p w14:paraId="7AA4913E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338B90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na cały system </w:t>
            </w:r>
          </w:p>
          <w:p w14:paraId="1664E359" w14:textId="30A2D30E" w:rsidR="00201AE6" w:rsidRPr="00E055CF" w:rsidRDefault="004F1286" w:rsidP="00A45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min</w:t>
            </w:r>
            <w:r w:rsidR="00A457C4">
              <w:rPr>
                <w:sz w:val="22"/>
                <w:szCs w:val="22"/>
              </w:rPr>
              <w:t>imum</w:t>
            </w:r>
            <w:r>
              <w:rPr>
                <w:sz w:val="22"/>
                <w:szCs w:val="22"/>
              </w:rPr>
              <w:t xml:space="preserve"> </w:t>
            </w:r>
            <w:r w:rsidR="00A457C4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miesiący</w:t>
            </w:r>
          </w:p>
        </w:tc>
        <w:tc>
          <w:tcPr>
            <w:tcW w:w="1765" w:type="dxa"/>
            <w:shd w:val="clear" w:color="auto" w:fill="auto"/>
          </w:tcPr>
          <w:p w14:paraId="37728F7F" w14:textId="1726A226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F7BD86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61DA01AB" w14:textId="77777777" w:rsidTr="00201AE6">
        <w:tc>
          <w:tcPr>
            <w:tcW w:w="567" w:type="dxa"/>
          </w:tcPr>
          <w:p w14:paraId="67E53D5B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2E109046" w14:textId="77777777" w:rsidTr="00201AE6">
        <w:tc>
          <w:tcPr>
            <w:tcW w:w="567" w:type="dxa"/>
          </w:tcPr>
          <w:p w14:paraId="037ED4F1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2D027357" w14:textId="77777777" w:rsidTr="00201AE6">
        <w:tc>
          <w:tcPr>
            <w:tcW w:w="567" w:type="dxa"/>
          </w:tcPr>
          <w:p w14:paraId="4C7BA219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4491A46F" w14:textId="77777777" w:rsidTr="00201AE6">
        <w:tc>
          <w:tcPr>
            <w:tcW w:w="567" w:type="dxa"/>
          </w:tcPr>
          <w:p w14:paraId="520FA353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57E60E69" w14:textId="77777777" w:rsidTr="00201AE6">
        <w:tc>
          <w:tcPr>
            <w:tcW w:w="567" w:type="dxa"/>
          </w:tcPr>
          <w:p w14:paraId="225DFEB5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201AE6" w:rsidRPr="00E055CF" w:rsidRDefault="00201AE6" w:rsidP="00E055CF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  <w:tr w:rsidR="00201AE6" w:rsidRPr="00E055CF" w14:paraId="4CE9B080" w14:textId="77777777" w:rsidTr="00201AE6">
        <w:tc>
          <w:tcPr>
            <w:tcW w:w="567" w:type="dxa"/>
          </w:tcPr>
          <w:p w14:paraId="2FC3C7B5" w14:textId="77777777" w:rsidR="00201AE6" w:rsidRPr="00E055CF" w:rsidRDefault="00201AE6" w:rsidP="00E055CF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201AE6" w:rsidRPr="00E055CF" w:rsidRDefault="00201AE6" w:rsidP="00E055CF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201AE6" w:rsidRPr="00E055CF" w:rsidRDefault="00201AE6" w:rsidP="00E055CF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201AE6" w:rsidRPr="00E055CF" w:rsidRDefault="00201AE6" w:rsidP="00E055CF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82DE2"/>
    <w:rsid w:val="000B26CA"/>
    <w:rsid w:val="000E222A"/>
    <w:rsid w:val="000E39B9"/>
    <w:rsid w:val="00107D9C"/>
    <w:rsid w:val="00117DDC"/>
    <w:rsid w:val="0013082C"/>
    <w:rsid w:val="00137D7D"/>
    <w:rsid w:val="0017517B"/>
    <w:rsid w:val="00192151"/>
    <w:rsid w:val="001A38D6"/>
    <w:rsid w:val="001C09FA"/>
    <w:rsid w:val="001D60E9"/>
    <w:rsid w:val="001F7145"/>
    <w:rsid w:val="00201AE6"/>
    <w:rsid w:val="00246F9F"/>
    <w:rsid w:val="00246FA3"/>
    <w:rsid w:val="0025092C"/>
    <w:rsid w:val="00255B9E"/>
    <w:rsid w:val="00267E59"/>
    <w:rsid w:val="002841AF"/>
    <w:rsid w:val="00291378"/>
    <w:rsid w:val="002B63B0"/>
    <w:rsid w:val="002D0454"/>
    <w:rsid w:val="002D5091"/>
    <w:rsid w:val="00332C5A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D403C"/>
    <w:rsid w:val="004D50A2"/>
    <w:rsid w:val="004E26D2"/>
    <w:rsid w:val="004E30B5"/>
    <w:rsid w:val="004F1286"/>
    <w:rsid w:val="005503EB"/>
    <w:rsid w:val="005622C2"/>
    <w:rsid w:val="00566449"/>
    <w:rsid w:val="005860E5"/>
    <w:rsid w:val="005A1D21"/>
    <w:rsid w:val="005C1725"/>
    <w:rsid w:val="005C6704"/>
    <w:rsid w:val="005F6C98"/>
    <w:rsid w:val="0064261B"/>
    <w:rsid w:val="006542B7"/>
    <w:rsid w:val="006871A2"/>
    <w:rsid w:val="0068788C"/>
    <w:rsid w:val="00687BFD"/>
    <w:rsid w:val="00694443"/>
    <w:rsid w:val="006E1EC3"/>
    <w:rsid w:val="006E4FC9"/>
    <w:rsid w:val="00720AAC"/>
    <w:rsid w:val="0072221A"/>
    <w:rsid w:val="00765076"/>
    <w:rsid w:val="0078001A"/>
    <w:rsid w:val="007C010F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6374"/>
    <w:rsid w:val="00867A69"/>
    <w:rsid w:val="00871FD1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F1A1D"/>
    <w:rsid w:val="009F6499"/>
    <w:rsid w:val="009F7AB8"/>
    <w:rsid w:val="00A23ED3"/>
    <w:rsid w:val="00A457C4"/>
    <w:rsid w:val="00A514FC"/>
    <w:rsid w:val="00A53E4F"/>
    <w:rsid w:val="00A93E73"/>
    <w:rsid w:val="00AE250D"/>
    <w:rsid w:val="00B0709F"/>
    <w:rsid w:val="00B34774"/>
    <w:rsid w:val="00B51795"/>
    <w:rsid w:val="00BF6778"/>
    <w:rsid w:val="00C0626C"/>
    <w:rsid w:val="00C32CFB"/>
    <w:rsid w:val="00C84B73"/>
    <w:rsid w:val="00C931AA"/>
    <w:rsid w:val="00CB4C4A"/>
    <w:rsid w:val="00CB7414"/>
    <w:rsid w:val="00CC7503"/>
    <w:rsid w:val="00D077FD"/>
    <w:rsid w:val="00D15FC5"/>
    <w:rsid w:val="00D33F7F"/>
    <w:rsid w:val="00D46C5F"/>
    <w:rsid w:val="00D56575"/>
    <w:rsid w:val="00D61EFF"/>
    <w:rsid w:val="00D80A22"/>
    <w:rsid w:val="00DA66A1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F6F2B"/>
    <w:rsid w:val="00F01191"/>
    <w:rsid w:val="00F01321"/>
    <w:rsid w:val="00F12ADC"/>
    <w:rsid w:val="00F17C82"/>
    <w:rsid w:val="00F20903"/>
    <w:rsid w:val="00F76062"/>
    <w:rsid w:val="00F82B25"/>
    <w:rsid w:val="00F9125A"/>
    <w:rsid w:val="00FA0C30"/>
    <w:rsid w:val="00FA3872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32CF0-2923-4610-9DDC-819F82A1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11</cp:revision>
  <dcterms:created xsi:type="dcterms:W3CDTF">2025-11-21T08:27:00Z</dcterms:created>
  <dcterms:modified xsi:type="dcterms:W3CDTF">2025-11-21T10:32:00Z</dcterms:modified>
</cp:coreProperties>
</file>