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D2" w:rsidRPr="000353C4" w:rsidRDefault="00B7225E" w:rsidP="006945D2">
      <w:pPr>
        <w:jc w:val="right"/>
        <w:rPr>
          <w:rFonts w:ascii="Times New Roman" w:hAnsi="Times New Roman" w:cs="Times New Roman"/>
        </w:rPr>
      </w:pPr>
      <w:bookmarkStart w:id="0" w:name="OLE_LINK2"/>
      <w:r w:rsidRPr="00B7225E">
        <w:rPr>
          <w:rFonts w:ascii="Times New Roman" w:hAnsi="Times New Roman" w:cs="Times New Roman"/>
        </w:rPr>
        <w:t>Załącznik nr 2_część_</w:t>
      </w:r>
      <w:r>
        <w:rPr>
          <w:rFonts w:ascii="Times New Roman" w:hAnsi="Times New Roman" w:cs="Times New Roman"/>
        </w:rPr>
        <w:t>2</w:t>
      </w:r>
      <w:r w:rsidRPr="00B7225E">
        <w:rPr>
          <w:rFonts w:ascii="Times New Roman" w:hAnsi="Times New Roman" w:cs="Times New Roman"/>
        </w:rPr>
        <w:t xml:space="preserve"> do zapytania nr SGA.261.28.2025</w:t>
      </w:r>
    </w:p>
    <w:p w:rsidR="006945D2" w:rsidRPr="000353C4" w:rsidRDefault="006945D2" w:rsidP="006945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– </w:t>
      </w:r>
      <w:r w:rsidRPr="001F42E4">
        <w:rPr>
          <w:rFonts w:ascii="Times New Roman" w:hAnsi="Times New Roman" w:cs="Times New Roman"/>
        </w:rPr>
        <w:t xml:space="preserve">część nr </w:t>
      </w:r>
      <w:r w:rsidR="00B7225E">
        <w:rPr>
          <w:rFonts w:ascii="Times New Roman" w:hAnsi="Times New Roman" w:cs="Times New Roman"/>
        </w:rPr>
        <w:t>2</w:t>
      </w:r>
    </w:p>
    <w:p w:rsidR="006945D2" w:rsidRDefault="006945D2" w:rsidP="006945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6945D2" w:rsidRPr="000353C4" w:rsidRDefault="006945D2" w:rsidP="006945D2">
      <w:pPr>
        <w:spacing w:after="0" w:line="240" w:lineRule="auto"/>
        <w:rPr>
          <w:rFonts w:ascii="Times New Roman" w:hAnsi="Times New Roman" w:cs="Times New Roman"/>
        </w:rPr>
      </w:pPr>
    </w:p>
    <w:p w:rsidR="006945D2" w:rsidRPr="000353C4" w:rsidRDefault="006945D2" w:rsidP="006945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945D2" w:rsidRPr="000353C4" w:rsidRDefault="006945D2" w:rsidP="006945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2B2B">
        <w:rPr>
          <w:rFonts w:ascii="Times New Roman" w:hAnsi="Times New Roman" w:cs="Times New Roman"/>
          <w:b/>
        </w:rPr>
        <w:t xml:space="preserve">Aparat USG </w:t>
      </w:r>
      <w:r w:rsidR="0059696E">
        <w:rPr>
          <w:rFonts w:ascii="Times New Roman" w:hAnsi="Times New Roman" w:cs="Times New Roman"/>
          <w:b/>
        </w:rPr>
        <w:t xml:space="preserve">– szt. </w:t>
      </w:r>
      <w:r w:rsidR="00B30598">
        <w:rPr>
          <w:rFonts w:ascii="Times New Roman" w:hAnsi="Times New Roman" w:cs="Times New Roman"/>
          <w:b/>
        </w:rPr>
        <w:t>1</w:t>
      </w:r>
    </w:p>
    <w:p w:rsidR="006945D2" w:rsidRPr="000353C4" w:rsidRDefault="006945D2" w:rsidP="006945D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684"/>
        <w:gridCol w:w="1418"/>
        <w:gridCol w:w="3543"/>
        <w:gridCol w:w="189"/>
      </w:tblGrid>
      <w:tr w:rsidR="006945D2" w:rsidRPr="000353C4" w:rsidTr="005F6B6B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6945D2" w:rsidRPr="000353C4" w:rsidRDefault="006945D2" w:rsidP="00706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684" w:type="dxa"/>
            <w:shd w:val="clear" w:color="auto" w:fill="BFBFBF" w:themeFill="background1" w:themeFillShade="BF"/>
            <w:vAlign w:val="center"/>
          </w:tcPr>
          <w:p w:rsidR="006945D2" w:rsidRPr="000353C4" w:rsidRDefault="006945D2" w:rsidP="00706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945D2" w:rsidRPr="000353C4" w:rsidRDefault="006945D2" w:rsidP="00706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:rsidR="006945D2" w:rsidRPr="000353C4" w:rsidRDefault="006945D2" w:rsidP="00706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189" w:type="dxa"/>
            <w:shd w:val="clear" w:color="auto" w:fill="BFBFBF" w:themeFill="background1" w:themeFillShade="BF"/>
            <w:vAlign w:val="center"/>
          </w:tcPr>
          <w:p w:rsidR="006945D2" w:rsidRPr="000353C4" w:rsidRDefault="006945D2" w:rsidP="00706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45D2" w:rsidRPr="000353C4" w:rsidTr="0070653D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6945D2" w:rsidRPr="000353C4" w:rsidRDefault="006945D2" w:rsidP="007065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4" w:type="dxa"/>
            <w:gridSpan w:val="4"/>
            <w:shd w:val="clear" w:color="auto" w:fill="FFFFFF" w:themeFill="background1"/>
            <w:vAlign w:val="center"/>
          </w:tcPr>
          <w:p w:rsidR="006945D2" w:rsidRPr="000353C4" w:rsidRDefault="006945D2" w:rsidP="00706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6945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6945D2" w:rsidRPr="000353C4" w:rsidRDefault="006945D2" w:rsidP="0070653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6945D2" w:rsidRPr="003B3375" w:rsidRDefault="006945D2" w:rsidP="003B3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418" w:type="dxa"/>
            <w:vAlign w:val="center"/>
          </w:tcPr>
          <w:p w:rsidR="006945D2" w:rsidRPr="003B3375" w:rsidRDefault="006945D2" w:rsidP="003B3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6945D2" w:rsidRPr="003B3375" w:rsidRDefault="006945D2" w:rsidP="003B3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945D2" w:rsidRPr="003B3375" w:rsidRDefault="006945D2" w:rsidP="003B3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945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6945D2" w:rsidRPr="000353C4" w:rsidRDefault="006945D2" w:rsidP="0070653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6945D2" w:rsidRPr="003B3375" w:rsidRDefault="006945D2" w:rsidP="003B3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418" w:type="dxa"/>
            <w:vAlign w:val="center"/>
          </w:tcPr>
          <w:p w:rsidR="006945D2" w:rsidRPr="003B3375" w:rsidRDefault="006945D2" w:rsidP="003B3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6945D2" w:rsidRPr="003B3375" w:rsidRDefault="006945D2" w:rsidP="003B3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945D2" w:rsidRPr="003B3375" w:rsidRDefault="006945D2" w:rsidP="003B3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945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6945D2" w:rsidRPr="000353C4" w:rsidRDefault="006945D2" w:rsidP="0070653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6945D2" w:rsidRPr="003B3375" w:rsidRDefault="006945D2" w:rsidP="003B3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Urządzenie oraz wszystkie elementy składowe fabrycznie nowe, rok produkcji 202</w:t>
            </w:r>
            <w:r w:rsidR="005750DD" w:rsidRPr="003B3375">
              <w:rPr>
                <w:rFonts w:ascii="Times New Roman" w:hAnsi="Times New Roman" w:cs="Times New Roman"/>
              </w:rPr>
              <w:t>5</w:t>
            </w:r>
            <w:r w:rsidRPr="003B3375">
              <w:rPr>
                <w:rFonts w:ascii="Times New Roman" w:hAnsi="Times New Roman" w:cs="Times New Roman"/>
              </w:rPr>
              <w:t>. Urządzenie gotowe do użytku bez żadnych dodatkowych zakupów lub inwestycji.</w:t>
            </w:r>
          </w:p>
        </w:tc>
        <w:tc>
          <w:tcPr>
            <w:tcW w:w="1418" w:type="dxa"/>
            <w:vAlign w:val="center"/>
          </w:tcPr>
          <w:p w:rsidR="006945D2" w:rsidRPr="003B3375" w:rsidRDefault="006945D2" w:rsidP="003B3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6945D2" w:rsidRPr="003B3375" w:rsidRDefault="006945D2" w:rsidP="003B3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945D2" w:rsidRPr="003B3375" w:rsidRDefault="006945D2" w:rsidP="003B3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945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6945D2" w:rsidRPr="000353C4" w:rsidRDefault="006945D2" w:rsidP="0070653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vAlign w:val="center"/>
          </w:tcPr>
          <w:p w:rsidR="006945D2" w:rsidRPr="003B3375" w:rsidRDefault="00B30598" w:rsidP="003B3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Aparat ze zintegrowaną stacją roboczą, systemem archiwizacji, </w:t>
            </w:r>
            <w:proofErr w:type="spellStart"/>
            <w:r w:rsidRPr="003B3375">
              <w:rPr>
                <w:rFonts w:ascii="Times New Roman" w:hAnsi="Times New Roman" w:cs="Times New Roman"/>
              </w:rPr>
              <w:t>videoprinterem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 B&amp;W, uchwytem </w:t>
            </w:r>
            <w:proofErr w:type="spellStart"/>
            <w:r w:rsidRPr="003B3375">
              <w:rPr>
                <w:rFonts w:ascii="Times New Roman" w:hAnsi="Times New Roman" w:cs="Times New Roman"/>
              </w:rPr>
              <w:t>endo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 oraz podstawą </w:t>
            </w:r>
            <w:proofErr w:type="spellStart"/>
            <w:r w:rsidRPr="003B3375">
              <w:rPr>
                <w:rFonts w:ascii="Times New Roman" w:hAnsi="Times New Roman" w:cs="Times New Roman"/>
              </w:rPr>
              <w:t>printera</w:t>
            </w:r>
            <w:proofErr w:type="spellEnd"/>
          </w:p>
        </w:tc>
        <w:tc>
          <w:tcPr>
            <w:tcW w:w="1418" w:type="dxa"/>
            <w:vAlign w:val="center"/>
          </w:tcPr>
          <w:p w:rsidR="006945D2" w:rsidRPr="003B3375" w:rsidRDefault="006F3E54" w:rsidP="003B3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6945D2" w:rsidRPr="003B3375" w:rsidRDefault="006945D2" w:rsidP="003B3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6945D2" w:rsidRPr="003B3375" w:rsidRDefault="006945D2" w:rsidP="003B3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Cztery koła skrętne z możliwością blokowania wszystkich kół</w:t>
            </w:r>
          </w:p>
        </w:tc>
        <w:tc>
          <w:tcPr>
            <w:tcW w:w="1418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Aparat wyposażony w elektryczny hamulec kółek przednich (oraz zmiany kierunku jazdy „na wprost”) aktywowany przyciskiem z konsoli oraz na tylnej rączce aparatu.</w:t>
            </w:r>
          </w:p>
        </w:tc>
        <w:tc>
          <w:tcPr>
            <w:tcW w:w="1418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Aparat wyposażony w akumulator umożliwiający aktywację/dezaktywację elektrycznych hamulców przednich oraz zmianę położenia elektrycznie sterowanego pulpitu operatora (lewo/prawo, góra/dół, przód/tył) bez podłączenia aparatu do sieci elektrycznej.</w:t>
            </w:r>
          </w:p>
        </w:tc>
        <w:tc>
          <w:tcPr>
            <w:tcW w:w="1418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Fabrycznie wbudowany monitor OLED, kolorowy, bez przeplotu przekątna ≥ 27 cala</w:t>
            </w:r>
          </w:p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Rozdzielczość monitora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375">
              <w:rPr>
                <w:rFonts w:ascii="Times New Roman" w:hAnsi="Times New Roman" w:cs="Times New Roman"/>
              </w:rPr>
              <w:t xml:space="preserve">≥ 2560 x 1440 </w:t>
            </w:r>
          </w:p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Jasność min.:275 cd/m</w:t>
            </w:r>
            <w:r w:rsidRPr="003B337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Aparat wyposażony w panel dotykowy z możliwością regulacji kąta pochylenia min. zakres:  35 – 65 stopni</w:t>
            </w:r>
          </w:p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Przekątna min. 15 cali</w:t>
            </w:r>
          </w:p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Rozdzielczość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375">
              <w:rPr>
                <w:rFonts w:ascii="Times New Roman" w:hAnsi="Times New Roman" w:cs="Times New Roman"/>
              </w:rPr>
              <w:t>≥1920x1080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Tak, opisać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Możliwość personalizacji panelu dotykowego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375">
              <w:rPr>
                <w:rFonts w:ascii="Times New Roman" w:hAnsi="Times New Roman" w:cs="Times New Roman"/>
              </w:rPr>
              <w:t xml:space="preserve">– użytkownik ma możliwość zmienić min.:  położenie przycisków funkcyjnych w dozwolonym obszarze ekranu dotykowego , dodać/usunąć poszczególne przyciski funkcyjne. Możliwość zapisu stworzonej aranżacji, exportu oraz importu ustawień przycisków min. osobno dla trybów: 2D, 2D </w:t>
            </w:r>
            <w:proofErr w:type="spellStart"/>
            <w:r w:rsidRPr="003B3375">
              <w:rPr>
                <w:rFonts w:ascii="Times New Roman" w:hAnsi="Times New Roman" w:cs="Times New Roman"/>
              </w:rPr>
              <w:t>Freeze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3375">
              <w:rPr>
                <w:rFonts w:ascii="Times New Roman" w:hAnsi="Times New Roman" w:cs="Times New Roman"/>
              </w:rPr>
              <w:t>Color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3375">
              <w:rPr>
                <w:rFonts w:ascii="Times New Roman" w:hAnsi="Times New Roman" w:cs="Times New Roman"/>
              </w:rPr>
              <w:t>Color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3375">
              <w:rPr>
                <w:rFonts w:ascii="Times New Roman" w:hAnsi="Times New Roman" w:cs="Times New Roman"/>
              </w:rPr>
              <w:t>Freeze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, PD, PD </w:t>
            </w:r>
            <w:proofErr w:type="spellStart"/>
            <w:r w:rsidRPr="003B3375">
              <w:rPr>
                <w:rFonts w:ascii="Times New Roman" w:hAnsi="Times New Roman" w:cs="Times New Roman"/>
              </w:rPr>
              <w:t>Freeze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, PW, PW </w:t>
            </w:r>
            <w:proofErr w:type="spellStart"/>
            <w:r w:rsidRPr="003B3375">
              <w:rPr>
                <w:rFonts w:ascii="Times New Roman" w:hAnsi="Times New Roman" w:cs="Times New Roman"/>
              </w:rPr>
              <w:t>Freeze</w:t>
            </w:r>
            <w:proofErr w:type="spellEnd"/>
            <w:r w:rsidRPr="003B337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Możliwość tworzenia kont użytkowników z możliwością przydzielania im uprawnień w zależności od potrzeb. Możliwość personalizacji </w:t>
            </w:r>
            <w:r w:rsidRPr="003B3375">
              <w:rPr>
                <w:rFonts w:ascii="Times New Roman" w:hAnsi="Times New Roman" w:cs="Times New Roman"/>
              </w:rPr>
              <w:lastRenderedPageBreak/>
              <w:t xml:space="preserve">ustawień aparatu, ustawienia </w:t>
            </w:r>
            <w:proofErr w:type="spellStart"/>
            <w:r w:rsidRPr="003B3375">
              <w:rPr>
                <w:rFonts w:ascii="Times New Roman" w:hAnsi="Times New Roman" w:cs="Times New Roman"/>
              </w:rPr>
              <w:t>setup’u</w:t>
            </w:r>
            <w:proofErr w:type="spellEnd"/>
            <w:r w:rsidRPr="003B3375">
              <w:rPr>
                <w:rFonts w:ascii="Times New Roman" w:hAnsi="Times New Roman" w:cs="Times New Roman"/>
              </w:rPr>
              <w:t>, skrótów klawiszowych, ustawień podłączonych drukarek, personalizacji pulpitu ekranu dotykowego, rodzaju podświetlenia aparatu itp. itd. indywidualnie dla każdego użytkownika w ramach utworzonych kont użytkowników.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Możliwość wykorzystania panelu dotykowego aparatu do obróbki uzyskanych danych 3D za pomocą gestów wykonanych palcami – tak jak w przypadku dotykowego telefonu komórkowego lub tabletu. M.in. rotacja uzyskanej bryły (względem wszystkich osi), powiększenie/pomniejszenie, przesunięcie bryły, ustawienie położenia wirtualnego źródła światła itd.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Wirtualna klawiatura numeryczna dostępna na ekranie dotykowym.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shd w:val="clear" w:color="auto" w:fill="auto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Fizyczna klawiatura numeryczna wysuwana spod pulpitu sterowania.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Elektryczna regulacja wysokości panelu sterowania. Regulacja Góra /dół</w:t>
            </w:r>
          </w:p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Zakres min</w:t>
            </w:r>
            <w:r>
              <w:rPr>
                <w:rFonts w:ascii="Times New Roman" w:hAnsi="Times New Roman" w:cs="Times New Roman"/>
              </w:rPr>
              <w:t>.</w:t>
            </w:r>
            <w:r w:rsidRPr="003B3375">
              <w:rPr>
                <w:rFonts w:ascii="Times New Roman" w:hAnsi="Times New Roman" w:cs="Times New Roman"/>
              </w:rPr>
              <w:t xml:space="preserve"> 28 cm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Panel sterowania z możliwością obrotu lewo/prawo oraz regulacji pozycji przód/tył. Blokada pozycji panelu realizowana w sposób elektromechaniczny. Lewo/prawo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375">
              <w:rPr>
                <w:rFonts w:ascii="Times New Roman" w:hAnsi="Times New Roman" w:cs="Times New Roman"/>
              </w:rPr>
              <w:t>≥ +/- 90°</w:t>
            </w:r>
          </w:p>
          <w:p w:rsidR="009E7DD2" w:rsidRPr="003B3375" w:rsidRDefault="009E7DD2" w:rsidP="009E7D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Przód/tył ≥ 27</w:t>
            </w: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Dedykowany, wbudowany podgrzewacz żelu (montowany z prawej lub lewej strony aparatu) z możliwością regulacji temperatury.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Cyfrowa regulacja TGC dostępna na panelu dotykowym, z funkcją zapamiętywania kilku preferowanych ustawień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Cyfrowy układ formowania wiązki ultradźwiękowej min. 170 000 000  kanałów procesowych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Zakres pracy dostępnych głowic obrazowych min. 1-18 MHz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4 aktywne, równoważnych gniazd do podłączenia głowic obrazowych.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Archiwizacja sekwencji filmowych na dysku twardym w czasie badania (równoległe nagrywanie) i po zamrożeniu (pętli CINE).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Ilość obrazów pamięci dynamicznej CINE min. 500 000 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Dysk twardy min. 2 TB SSD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Aktywne gniazdo USB 3.0 do archiwizacji obrazów statycznych oraz ruchomych na przenośnej pamięci USB (Flash, Pendrive).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Funkcja umożliwiająca automatyczne usuwanie badań po pływie 30/60/90/120 dni, konfigurowalna przez użytkownika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Fabrycznie zainstalowany system ochrony antywirusowej.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B3375">
              <w:rPr>
                <w:rFonts w:ascii="Times New Roman" w:hAnsi="Times New Roman" w:cs="Times New Roman"/>
              </w:rPr>
              <w:t xml:space="preserve">Możliwość exportu obrazów i pętli obrazowych w formatach min. </w:t>
            </w:r>
            <w:r w:rsidRPr="003B3375">
              <w:rPr>
                <w:rFonts w:ascii="Times New Roman" w:hAnsi="Times New Roman" w:cs="Times New Roman"/>
                <w:lang w:val="en-US"/>
              </w:rPr>
              <w:t>BMP, JPG, TIFF, DICOM, AVI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4D57F2">
        <w:trPr>
          <w:trHeight w:val="20"/>
          <w:jc w:val="center"/>
        </w:trPr>
        <w:tc>
          <w:tcPr>
            <w:tcW w:w="10390" w:type="dxa"/>
            <w:gridSpan w:val="5"/>
            <w:shd w:val="clear" w:color="auto" w:fill="D0CECE" w:themeFill="background2" w:themeFillShade="E6"/>
            <w:noWrap/>
            <w:vAlign w:val="center"/>
          </w:tcPr>
          <w:p w:rsidR="00C7187C" w:rsidRPr="003B3375" w:rsidRDefault="00C7187C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  <w:b/>
              </w:rPr>
              <w:t>TRYBY OBRAZOWANIA</w:t>
            </w: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shd w:val="clear" w:color="auto" w:fill="D0CECE" w:themeFill="background2" w:themeFillShade="E6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shd w:val="clear" w:color="auto" w:fill="D0CECE" w:themeFill="background2" w:themeFillShade="E6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Tryb B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auto" w:fill="D0CECE" w:themeFill="background2" w:themeFillShade="E6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Głębokość penetracji ≥1-45 cm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Wyświetlany zakres pola obrazowego ≥0-45 cm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Obrazowanie trapezowe na głowicach liniowych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Zoom dla obrazów „na żywo” i zatrzymanych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Możliwość rotacji obrazu o 360° w skoku co 90°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Zmiana wzmocnienia obrazu zamrożonego 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Obrazowanie harmoniczne 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Obrazowanie harmoniczne kodowane z odwróconym impulsem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Funkcja automatycznej optymalizacji obrazu B przy pomocy jednego przycisku.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Funkcja automatycznej optymalizacji obrazu B realizowana w sposób ciągły „na żywo” w trakcie obrazowania.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Ogniskowanie wiązki ultradźwiękowej na całej głębokości obrazowania (nie ogniskowanie strefowe lub punktowe).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shd w:val="clear" w:color="auto" w:fill="D0CECE" w:themeFill="background2" w:themeFillShade="E6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shd w:val="clear" w:color="auto" w:fill="D0CECE" w:themeFill="background2" w:themeFillShade="E6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Tryb 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auto" w:fill="D0CECE" w:themeFill="background2" w:themeFillShade="E6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Tryb M z Dopplerem Kolorowym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Anatomiczny tryb M.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Anatomiczny M-</w:t>
            </w:r>
            <w:proofErr w:type="spellStart"/>
            <w:r w:rsidRPr="003B3375">
              <w:rPr>
                <w:rFonts w:ascii="Times New Roman" w:hAnsi="Times New Roman" w:cs="Times New Roman"/>
              </w:rPr>
              <w:t>mode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 z 3 niezależnych linii na jednym obrazie.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shd w:val="clear" w:color="auto" w:fill="D0CECE" w:themeFill="background2" w:themeFillShade="E6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shd w:val="clear" w:color="auto" w:fill="D0CECE" w:themeFill="background2" w:themeFillShade="E6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Tryb Doppler Kolorowy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auto" w:fill="D0CECE" w:themeFill="background2" w:themeFillShade="E6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Zakres PRF dla Dopplera kolorowego</w:t>
            </w:r>
          </w:p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Min.  od 0,8KHz do 18 KHz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Funkcja automatycznej optymalizacji dla trybu Dopplera kolorowego min. automatyczne ustawienie pozycji względem naczynia i pochylenie bramki ROI realizowane po przyciśnięciu dedykowanego przycisku.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Obrazowanie złożeniowe (B+B/CD) w czasie rzeczywistym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3375">
              <w:rPr>
                <w:rFonts w:ascii="Times New Roman" w:hAnsi="Times New Roman" w:cs="Times New Roman"/>
              </w:rPr>
              <w:t>Quazi</w:t>
            </w:r>
            <w:proofErr w:type="spellEnd"/>
            <w:r w:rsidRPr="003B3375">
              <w:rPr>
                <w:rFonts w:ascii="Times New Roman" w:hAnsi="Times New Roman" w:cs="Times New Roman"/>
              </w:rPr>
              <w:t>-przestrzenna wizualizacja przepływu dopplerowskiego w oparciu o obrazowanie dwuwymiarowe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shd w:val="clear" w:color="auto" w:fill="D0CECE" w:themeFill="background2" w:themeFillShade="E6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shd w:val="clear" w:color="auto" w:fill="D0CECE" w:themeFill="background2" w:themeFillShade="E6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Tryb Power Doppler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auto" w:fill="D0CECE" w:themeFill="background2" w:themeFillShade="E6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Tryb Power Doppler z detekcją kierunku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B3375">
              <w:rPr>
                <w:rFonts w:ascii="Times New Roman" w:hAnsi="Times New Roman" w:cs="Times New Roman"/>
              </w:rPr>
              <w:t>Quazi</w:t>
            </w:r>
            <w:proofErr w:type="spellEnd"/>
            <w:r w:rsidRPr="003B3375">
              <w:rPr>
                <w:rFonts w:ascii="Times New Roman" w:hAnsi="Times New Roman" w:cs="Times New Roman"/>
              </w:rPr>
              <w:t>-przestrzenna mapa przepływu dopplerowskiego w oparciu o obrazowanie dwuwymiarowe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shd w:val="clear" w:color="auto" w:fill="D0CECE" w:themeFill="background2" w:themeFillShade="E6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shd w:val="clear" w:color="auto" w:fill="D0CECE" w:themeFill="background2" w:themeFillShade="E6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Spektralny Doppler Pulsacyjny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auto" w:fill="D0CECE" w:themeFill="background2" w:themeFillShade="E6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Zakres PRF dla Dopplera pulsacyjnego </w:t>
            </w:r>
          </w:p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Min. od 1KHz do 26KHz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Regulacja wielkości bramki w Dopplerze Pulsacyjnym ≥0,5-20 mm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3375">
              <w:rPr>
                <w:rFonts w:ascii="Times New Roman" w:hAnsi="Times New Roman" w:cs="Times New Roman"/>
                <w:lang w:val="en-US"/>
              </w:rPr>
              <w:t>Tryb</w:t>
            </w:r>
            <w:proofErr w:type="spellEnd"/>
            <w:r w:rsidRPr="003B3375">
              <w:rPr>
                <w:rFonts w:ascii="Times New Roman" w:hAnsi="Times New Roman" w:cs="Times New Roman"/>
                <w:lang w:val="en-US"/>
              </w:rPr>
              <w:t xml:space="preserve"> Triplex (B+CD/PD+PWD)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D2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9E7DD2" w:rsidRPr="000353C4" w:rsidRDefault="009E7DD2" w:rsidP="009E7DD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Funkcja automatycznej optymalizacji parametrów przepływu dla trybu spektralnego Dopplera pulsacyjnego min. dopasowanie skali i poziomu </w:t>
            </w:r>
            <w:r w:rsidRPr="003B3375">
              <w:rPr>
                <w:rFonts w:ascii="Times New Roman" w:hAnsi="Times New Roman" w:cs="Times New Roman"/>
              </w:rPr>
              <w:lastRenderedPageBreak/>
              <w:t>linii bazowej, po przyciśnięciu dedykowanego przycisku.</w:t>
            </w:r>
          </w:p>
        </w:tc>
        <w:tc>
          <w:tcPr>
            <w:tcW w:w="1418" w:type="dxa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3543" w:type="dxa"/>
            <w:vAlign w:val="center"/>
          </w:tcPr>
          <w:p w:rsidR="009E7DD2" w:rsidRPr="003B3375" w:rsidRDefault="009E7DD2" w:rsidP="009E7D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9E7DD2" w:rsidRPr="003B3375" w:rsidRDefault="009E7DD2" w:rsidP="009E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Jednoprzyciskowa funkcja automatycznie umieszczająca bramkę SV w trybie PWD wewnątrz naczynia wraz z automatycznym ustawieniem kąta korekcji.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shd w:val="clear" w:color="auto" w:fill="D0CECE" w:themeFill="background2" w:themeFillShade="E6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shd w:val="clear" w:color="auto" w:fill="D0CECE" w:themeFill="background2" w:themeFillShade="E6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Spektralny CWD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C7187C" w:rsidRPr="00C7187C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187C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auto" w:fill="D0CECE" w:themeFill="background2" w:themeFillShade="E6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Funkcja dostępna </w:t>
            </w:r>
            <w:r>
              <w:rPr>
                <w:rFonts w:ascii="Times New Roman" w:hAnsi="Times New Roman" w:cs="Times New Roman"/>
              </w:rPr>
              <w:t xml:space="preserve">dla </w:t>
            </w:r>
            <w:r w:rsidRPr="003B3375">
              <w:rPr>
                <w:rFonts w:ascii="Times New Roman" w:hAnsi="Times New Roman" w:cs="Times New Roman"/>
              </w:rPr>
              <w:t xml:space="preserve">głowicy </w:t>
            </w:r>
            <w:proofErr w:type="spellStart"/>
            <w:r w:rsidRPr="003B3375">
              <w:rPr>
                <w:rFonts w:ascii="Times New Roman" w:hAnsi="Times New Roman" w:cs="Times New Roman"/>
              </w:rPr>
              <w:t>convex</w:t>
            </w:r>
            <w:proofErr w:type="spellEnd"/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shd w:val="clear" w:color="auto" w:fill="D0CECE" w:themeFill="background2" w:themeFillShade="E6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shd w:val="clear" w:color="auto" w:fill="D0CECE" w:themeFill="background2" w:themeFillShade="E6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 xml:space="preserve">Doppler </w:t>
            </w:r>
            <w:proofErr w:type="spellStart"/>
            <w:r w:rsidRPr="003B3375">
              <w:rPr>
                <w:rFonts w:ascii="Times New Roman" w:hAnsi="Times New Roman" w:cs="Times New Roman"/>
                <w:b/>
              </w:rPr>
              <w:t>Taknkowy</w:t>
            </w:r>
            <w:proofErr w:type="spellEnd"/>
          </w:p>
        </w:tc>
        <w:tc>
          <w:tcPr>
            <w:tcW w:w="1418" w:type="dxa"/>
            <w:shd w:val="clear" w:color="auto" w:fill="D0CECE" w:themeFill="background2" w:themeFillShade="E6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auto" w:fill="D0CECE" w:themeFill="background2" w:themeFillShade="E6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Funkcja dostępna na min jednej zaoferowanej głowicy </w:t>
            </w:r>
            <w:proofErr w:type="spellStart"/>
            <w:r w:rsidRPr="003B3375">
              <w:rPr>
                <w:rFonts w:ascii="Times New Roman" w:hAnsi="Times New Roman" w:cs="Times New Roman"/>
              </w:rPr>
              <w:t>convex</w:t>
            </w:r>
            <w:proofErr w:type="spellEnd"/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shd w:val="clear" w:color="auto" w:fill="D0CECE" w:themeFill="background2" w:themeFillShade="E6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shd w:val="clear" w:color="auto" w:fill="D0CECE" w:themeFill="background2" w:themeFillShade="E6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INNE FUNKCJE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auto" w:fill="D0CECE" w:themeFill="background2" w:themeFillShade="E6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Oprogramowanie służące  do szczegółowego obrazowania drobnych obiektów (w niewielkim stopniu różniących się </w:t>
            </w:r>
            <w:proofErr w:type="spellStart"/>
            <w:r w:rsidRPr="003B3375">
              <w:rPr>
                <w:rFonts w:ascii="Times New Roman" w:hAnsi="Times New Roman" w:cs="Times New Roman"/>
              </w:rPr>
              <w:t>echogenicznością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 od otaczających tkanek), umożliwiające dokładną wizualizację struktur anatomicznych, znacznie poprawiające rozdzielczość uzyskanych obrazów.</w:t>
            </w:r>
          </w:p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Technologia inna niż filtry do redukcji szumów </w:t>
            </w:r>
            <w:proofErr w:type="spellStart"/>
            <w:r w:rsidRPr="003B3375">
              <w:rPr>
                <w:rFonts w:ascii="Times New Roman" w:hAnsi="Times New Roman" w:cs="Times New Roman"/>
              </w:rPr>
              <w:t>specklowych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 (np. SRI, </w:t>
            </w:r>
            <w:proofErr w:type="spellStart"/>
            <w:r w:rsidRPr="003B3375">
              <w:rPr>
                <w:rFonts w:ascii="Times New Roman" w:hAnsi="Times New Roman" w:cs="Times New Roman"/>
              </w:rPr>
              <w:t>ClearVision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3375">
              <w:rPr>
                <w:rFonts w:ascii="Times New Roman" w:hAnsi="Times New Roman" w:cs="Times New Roman"/>
              </w:rPr>
              <w:t>XRes</w:t>
            </w:r>
            <w:proofErr w:type="spellEnd"/>
            <w:r w:rsidRPr="003B3375">
              <w:rPr>
                <w:rFonts w:ascii="Times New Roman" w:hAnsi="Times New Roman" w:cs="Times New Roman"/>
              </w:rPr>
              <w:t>) oraz niewykorzystująca technologii obrazowania składanego: przestrzennego (obrazowanie krzyżowe) i częstotliwościowego.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Obrazowanie krzyżowe </w:t>
            </w:r>
            <w:r w:rsidR="004D57F2">
              <w:rPr>
                <w:rFonts w:ascii="Times New Roman" w:hAnsi="Times New Roman" w:cs="Times New Roman"/>
              </w:rPr>
              <w:t xml:space="preserve">na głowicach liniowych i </w:t>
            </w:r>
            <w:proofErr w:type="spellStart"/>
            <w:r w:rsidR="004D57F2">
              <w:rPr>
                <w:rFonts w:ascii="Times New Roman" w:hAnsi="Times New Roman" w:cs="Times New Roman"/>
              </w:rPr>
              <w:t>convex</w:t>
            </w:r>
            <w:proofErr w:type="spellEnd"/>
            <w:r w:rsidR="004D57F2">
              <w:rPr>
                <w:rFonts w:ascii="Times New Roman" w:hAnsi="Times New Roman" w:cs="Times New Roman"/>
              </w:rPr>
              <w:t xml:space="preserve">, </w:t>
            </w:r>
            <w:r w:rsidRPr="003B3375">
              <w:rPr>
                <w:rFonts w:ascii="Times New Roman" w:hAnsi="Times New Roman" w:cs="Times New Roman"/>
              </w:rPr>
              <w:t>Min. 4 kroki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Funkcja powiększenia obrazu diagnostycznego - zoom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Zaawansowany filtr do redukcji szumów </w:t>
            </w:r>
            <w:proofErr w:type="spellStart"/>
            <w:r w:rsidRPr="003B3375">
              <w:rPr>
                <w:rFonts w:ascii="Times New Roman" w:hAnsi="Times New Roman" w:cs="Times New Roman"/>
              </w:rPr>
              <w:t>specklowych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 polepszający obrazowanie w trybie 2D z jednoczesnym uwydatnieniem granic tkanek o różnej </w:t>
            </w:r>
            <w:proofErr w:type="spellStart"/>
            <w:r w:rsidRPr="003B3375">
              <w:rPr>
                <w:rFonts w:ascii="Times New Roman" w:hAnsi="Times New Roman" w:cs="Times New Roman"/>
              </w:rPr>
              <w:t>echogeniczności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 (np. SRI, </w:t>
            </w:r>
            <w:proofErr w:type="spellStart"/>
            <w:r w:rsidRPr="003B3375">
              <w:rPr>
                <w:rFonts w:ascii="Times New Roman" w:hAnsi="Times New Roman" w:cs="Times New Roman"/>
              </w:rPr>
              <w:t>Xres</w:t>
            </w:r>
            <w:proofErr w:type="spellEnd"/>
            <w:r w:rsidRPr="003B33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717F89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>Oprogramowanie służące do poprawy wizualizacji struktur wewnątrzczaszkowych płodu w 3 trymestrze, likwidujące szumy i cienie akustyczne powstałe na skutek przejścia wiązki ultradźwiękowej przez czaszkę płodu. Oprogramowanie wykorzystujące 2 naprzemiennie nadawane i odbierane częstotliwości z dolnego oraz górnego pasma pracy głowicy.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717F89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 xml:space="preserve">Oprogramowanie służące do automatycznego wyostrzania granic struktur różniących się </w:t>
            </w:r>
            <w:proofErr w:type="spellStart"/>
            <w:r w:rsidRPr="00717F89">
              <w:rPr>
                <w:rFonts w:ascii="Times New Roman" w:hAnsi="Times New Roman" w:cs="Times New Roman"/>
              </w:rPr>
              <w:t>echogenicznością</w:t>
            </w:r>
            <w:proofErr w:type="spellEnd"/>
            <w:r w:rsidRPr="00717F89">
              <w:rPr>
                <w:rFonts w:ascii="Times New Roman" w:hAnsi="Times New Roman" w:cs="Times New Roman"/>
              </w:rPr>
              <w:t xml:space="preserve"> (ściany komór/przedsionków serca, granice łożysko-płyn owodniowy itp.) uwypuklające granicę tkanek.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Aplikacja służąca do automatycznej selektywnej korekcji prędkości fali ultradźwiękowej zależnej od rodzaju tkanki przez którą fala przechodzi (tkanka tłuszczowa), poprawiająca rozdzielczość, eliminującą zniekształcenia strukturalne obrazowanego płodu w dalszej głębokości obrazowania. 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Funkcja  3D/4D na głowicach wolumetrycznych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Obrazowanie tomograficzne na obrazie żywym i zamrożonym w trybie 3D/4D z możliwością wyświetlenia minimum 12 równoległych warstw.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717F89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>Oprogramowanie do automatycznego wykrywania twarzy płodu na zeskanowanej bryle 3D, usuwające wszystkie artefakty oraz struktury przykrywające twarz płodu w rekonstruowanej wizualizacji.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717F89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 xml:space="preserve">Zaawansowane oprogramowanie wykorzystujące algorytmy AI działające w trybie 3D, służące do automatycznego usuwania wszystkich obiektów znajdujących się ponad twarzą płodu, rekonstruujące powierzchnię twarzy zasłoniętą przez kończyny, pępowinę (dające cień akustyczny) umożliwiając uzyskanie </w:t>
            </w:r>
            <w:proofErr w:type="spellStart"/>
            <w:r w:rsidRPr="00717F89">
              <w:rPr>
                <w:rFonts w:ascii="Times New Roman" w:hAnsi="Times New Roman" w:cs="Times New Roman"/>
              </w:rPr>
              <w:t>zrenderowanego</w:t>
            </w:r>
            <w:proofErr w:type="spellEnd"/>
            <w:r w:rsidRPr="00717F89">
              <w:rPr>
                <w:rFonts w:ascii="Times New Roman" w:hAnsi="Times New Roman" w:cs="Times New Roman"/>
              </w:rPr>
              <w:t xml:space="preserve"> obrazu twarzy płodu bez artefaktów powierzchniowych.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Oprogramowanie służące do automatycznej detekcji endometrium wraz z uzyskaniem wyraźnego przekroju czołowego (</w:t>
            </w:r>
            <w:proofErr w:type="spellStart"/>
            <w:r w:rsidRPr="003B3375">
              <w:rPr>
                <w:rFonts w:ascii="Times New Roman" w:hAnsi="Times New Roman" w:cs="Times New Roman"/>
              </w:rPr>
              <w:t>coronal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) macicy. Oprogramowanie współpracujące z dostępnymi głowicami </w:t>
            </w:r>
            <w:proofErr w:type="spellStart"/>
            <w:r w:rsidRPr="003B3375">
              <w:rPr>
                <w:rFonts w:ascii="Times New Roman" w:hAnsi="Times New Roman" w:cs="Times New Roman"/>
              </w:rPr>
              <w:t>endo</w:t>
            </w:r>
            <w:proofErr w:type="spellEnd"/>
            <w:r w:rsidRPr="003B3375">
              <w:rPr>
                <w:rFonts w:ascii="Times New Roman" w:hAnsi="Times New Roman" w:cs="Times New Roman"/>
              </w:rPr>
              <w:t xml:space="preserve"> wolumetryczna aktywowane jednym przyciskiem na panelu dotykowym aparatu. Oprogramowanie ma zawierać moduł klasyfikacji kształtu macicy (ESHREE/ ESGE i ASRM). standard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Oprogramowanie poprawiające jakość uzyskanych obrazów wolumetrycznych poprzez znaczące poprawienie rozdzielczości przestrzennej rekonstruowanej struktury np. HDVI lub VSRI działające zarówno w trybie 3D  jak i 4D.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Oprogramowanie pomiarowe do badań min:</w:t>
            </w:r>
          </w:p>
          <w:p w:rsidR="00C7187C" w:rsidRPr="00717F89" w:rsidRDefault="00C7187C" w:rsidP="00C7187C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>położniczych</w:t>
            </w:r>
          </w:p>
          <w:p w:rsidR="00C7187C" w:rsidRPr="00717F89" w:rsidRDefault="00C7187C" w:rsidP="00C7187C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>echo płodu (w tym Z-</w:t>
            </w:r>
            <w:proofErr w:type="spellStart"/>
            <w:r w:rsidRPr="00717F89">
              <w:rPr>
                <w:rFonts w:ascii="Times New Roman" w:hAnsi="Times New Roman" w:cs="Times New Roman"/>
              </w:rPr>
              <w:t>score</w:t>
            </w:r>
            <w:proofErr w:type="spellEnd"/>
            <w:r w:rsidRPr="00717F89">
              <w:rPr>
                <w:rFonts w:ascii="Times New Roman" w:hAnsi="Times New Roman" w:cs="Times New Roman"/>
              </w:rPr>
              <w:t>)</w:t>
            </w:r>
          </w:p>
          <w:p w:rsidR="00C7187C" w:rsidRPr="00717F89" w:rsidRDefault="00C7187C" w:rsidP="00C7187C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 xml:space="preserve">ginekologicznych </w:t>
            </w:r>
          </w:p>
          <w:p w:rsidR="00C7187C" w:rsidRPr="003B3375" w:rsidRDefault="00C7187C" w:rsidP="00C7187C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brzusznych </w:t>
            </w:r>
          </w:p>
          <w:p w:rsidR="00C7187C" w:rsidRPr="003B3375" w:rsidRDefault="00C7187C" w:rsidP="00C7187C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mięśniowo-szkieletowych</w:t>
            </w:r>
          </w:p>
          <w:p w:rsidR="00C7187C" w:rsidRPr="003B3375" w:rsidRDefault="00C7187C" w:rsidP="00C7187C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małych narządów</w:t>
            </w:r>
          </w:p>
          <w:p w:rsidR="00C7187C" w:rsidRPr="003B3375" w:rsidRDefault="00C7187C" w:rsidP="00C7187C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urologicznych</w:t>
            </w:r>
          </w:p>
          <w:p w:rsidR="00C7187C" w:rsidRPr="003B3375" w:rsidRDefault="00C7187C" w:rsidP="00C7187C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tętnice szyjne</w:t>
            </w:r>
          </w:p>
          <w:p w:rsidR="00C7187C" w:rsidRPr="003B3375" w:rsidRDefault="00C7187C" w:rsidP="00C7187C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żyły kończyn górnych</w:t>
            </w:r>
          </w:p>
          <w:p w:rsidR="00C7187C" w:rsidRPr="003B3375" w:rsidRDefault="00C7187C" w:rsidP="00C7187C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tętnice kończyn górnych</w:t>
            </w:r>
          </w:p>
          <w:p w:rsidR="00C7187C" w:rsidRPr="003B3375" w:rsidRDefault="00C7187C" w:rsidP="00C7187C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żyły kończyn dolnych</w:t>
            </w:r>
          </w:p>
          <w:p w:rsidR="00C7187C" w:rsidRPr="003B3375" w:rsidRDefault="00C7187C" w:rsidP="00C7187C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tętnice kończyn dolnych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Pomiary podstawowe na obrazie:</w:t>
            </w:r>
          </w:p>
          <w:p w:rsidR="00C7187C" w:rsidRPr="003B3375" w:rsidRDefault="00C7187C" w:rsidP="00C7187C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pomiar odległości, </w:t>
            </w:r>
          </w:p>
          <w:p w:rsidR="00C7187C" w:rsidRPr="003B3375" w:rsidRDefault="00C7187C" w:rsidP="00C7187C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obwodu, </w:t>
            </w:r>
          </w:p>
          <w:p w:rsidR="00C7187C" w:rsidRPr="003B3375" w:rsidRDefault="00C7187C" w:rsidP="00C7187C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pola powierzchni, </w:t>
            </w:r>
          </w:p>
          <w:p w:rsidR="00C7187C" w:rsidRPr="003B3375" w:rsidRDefault="00C7187C" w:rsidP="00C7187C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objętości</w:t>
            </w:r>
          </w:p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Funkcja automatycznego rozpoczynania kolejnego pomiaru po wykonaniu uprzedniego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Automatyczne pomiary biometryczne min. HC, BPD, AC, FL, HL ,CRL, NT, AFI, </w:t>
            </w:r>
            <w:proofErr w:type="spellStart"/>
            <w:r w:rsidRPr="003B3375">
              <w:rPr>
                <w:rFonts w:ascii="Times New Roman" w:hAnsi="Times New Roman" w:cs="Times New Roman"/>
              </w:rPr>
              <w:t>Vp</w:t>
            </w:r>
            <w:proofErr w:type="spellEnd"/>
            <w:r w:rsidRPr="003B3375">
              <w:rPr>
                <w:rFonts w:ascii="Times New Roman" w:hAnsi="Times New Roman" w:cs="Times New Roman"/>
              </w:rPr>
              <w:t>, CEREB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717F89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 xml:space="preserve">Możliwość stworzenia w ramach jednego konkretnego </w:t>
            </w:r>
            <w:proofErr w:type="spellStart"/>
            <w:r w:rsidRPr="00717F89">
              <w:rPr>
                <w:rFonts w:ascii="Times New Roman" w:hAnsi="Times New Roman" w:cs="Times New Roman"/>
              </w:rPr>
              <w:t>presetu</w:t>
            </w:r>
            <w:proofErr w:type="spellEnd"/>
            <w:r w:rsidRPr="00717F89">
              <w:rPr>
                <w:rFonts w:ascii="Times New Roman" w:hAnsi="Times New Roman" w:cs="Times New Roman"/>
              </w:rPr>
              <w:t xml:space="preserve"> (np. 2 trymestru) kolejnych </w:t>
            </w:r>
            <w:proofErr w:type="spellStart"/>
            <w:r w:rsidRPr="00717F89">
              <w:rPr>
                <w:rFonts w:ascii="Times New Roman" w:hAnsi="Times New Roman" w:cs="Times New Roman"/>
              </w:rPr>
              <w:t>półpresetów</w:t>
            </w:r>
            <w:proofErr w:type="spellEnd"/>
            <w:r w:rsidRPr="00717F89">
              <w:rPr>
                <w:rFonts w:ascii="Times New Roman" w:hAnsi="Times New Roman" w:cs="Times New Roman"/>
              </w:rPr>
              <w:t xml:space="preserve"> (ustawień) dla obrazu 2D na konkretne struktury anatomiczne: mózg, kręgosłup, serce płodu, brzuch aktywowane jednym przyciskiem (każdy osobno) z ekranu dotykowego konsoli aparatu.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717F89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 xml:space="preserve">Możliwość stworzenia w ramach jednego konkretnego </w:t>
            </w:r>
            <w:proofErr w:type="spellStart"/>
            <w:r w:rsidRPr="00717F89">
              <w:rPr>
                <w:rFonts w:ascii="Times New Roman" w:hAnsi="Times New Roman" w:cs="Times New Roman"/>
              </w:rPr>
              <w:t>presetu</w:t>
            </w:r>
            <w:proofErr w:type="spellEnd"/>
            <w:r w:rsidRPr="00717F89">
              <w:rPr>
                <w:rFonts w:ascii="Times New Roman" w:hAnsi="Times New Roman" w:cs="Times New Roman"/>
              </w:rPr>
              <w:t xml:space="preserve"> (np. 3 trymestru) kolejnych </w:t>
            </w:r>
            <w:proofErr w:type="spellStart"/>
            <w:r w:rsidRPr="00717F89">
              <w:rPr>
                <w:rFonts w:ascii="Times New Roman" w:hAnsi="Times New Roman" w:cs="Times New Roman"/>
              </w:rPr>
              <w:t>półpresetów</w:t>
            </w:r>
            <w:proofErr w:type="spellEnd"/>
            <w:r w:rsidRPr="00717F89">
              <w:rPr>
                <w:rFonts w:ascii="Times New Roman" w:hAnsi="Times New Roman" w:cs="Times New Roman"/>
              </w:rPr>
              <w:t xml:space="preserve"> (ustawień) dla trybów Dopplerowskich (</w:t>
            </w:r>
            <w:proofErr w:type="spellStart"/>
            <w:r w:rsidRPr="00717F89">
              <w:rPr>
                <w:rFonts w:ascii="Times New Roman" w:hAnsi="Times New Roman" w:cs="Times New Roman"/>
              </w:rPr>
              <w:t>Color</w:t>
            </w:r>
            <w:proofErr w:type="spellEnd"/>
            <w:r w:rsidRPr="00717F89">
              <w:rPr>
                <w:rFonts w:ascii="Times New Roman" w:hAnsi="Times New Roman" w:cs="Times New Roman"/>
              </w:rPr>
              <w:t xml:space="preserve"> Doppler, Power Doppler, PW) na konkretne badane naczynie krwionośne: tętnica pępowinowa, tętnica maciczna, tętnice mózgowe, aktywowane jednym przyciskiem (każdy osobno) z ekranu dotykowego konsoli aparatu.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717F89" w:rsidRDefault="00C7187C" w:rsidP="00C718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 xml:space="preserve">Oprogramowanie automatycznie określające anatomię płodu i w sposób w pełni automatyczny za pomocą jednego przycisku na konsoli aparatu lub na ekranie dotykowym (wybór użytkownika) mierzący (bez konieczności wyboru pomiaru z menu pomiarowego – aparat określa co mierzy na podstawie uzyskanego obrazu USG) następujące pomiary: BPD, HC, AC, FL, HL, CRL, NT, AFI, CEREB, </w:t>
            </w:r>
            <w:proofErr w:type="spellStart"/>
            <w:r w:rsidRPr="00717F89">
              <w:rPr>
                <w:rFonts w:ascii="Times New Roman" w:hAnsi="Times New Roman" w:cs="Times New Roman"/>
              </w:rPr>
              <w:t>Vp</w:t>
            </w:r>
            <w:proofErr w:type="spellEnd"/>
            <w:r w:rsidRPr="00717F89">
              <w:rPr>
                <w:rFonts w:ascii="Times New Roman" w:hAnsi="Times New Roman" w:cs="Times New Roman"/>
              </w:rPr>
              <w:t>,  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717F89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>Możliwość stworzenia własnych pomiarów i formuł obliczeniowych.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717F89" w:rsidRDefault="00C7187C" w:rsidP="004D57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 xml:space="preserve">Oprogramowanie służące do automatycznego opisywania projekcji echokardiograficznych płodu. Przy użyciu jednego przycisku aparat samodzielnie dokonuje określenia widoku m.in. 3VT, 3VV, 3VVPA, 4CV, A </w:t>
            </w:r>
            <w:proofErr w:type="spellStart"/>
            <w:r w:rsidRPr="00717F89">
              <w:rPr>
                <w:rFonts w:ascii="Times New Roman" w:hAnsi="Times New Roman" w:cs="Times New Roman"/>
              </w:rPr>
              <w:t>Arch</w:t>
            </w:r>
            <w:proofErr w:type="spellEnd"/>
            <w:r w:rsidRPr="00717F89">
              <w:rPr>
                <w:rFonts w:ascii="Times New Roman" w:hAnsi="Times New Roman" w:cs="Times New Roman"/>
              </w:rPr>
              <w:t xml:space="preserve">, Abdomen, </w:t>
            </w:r>
            <w:proofErr w:type="spellStart"/>
            <w:r w:rsidRPr="00717F89">
              <w:rPr>
                <w:rFonts w:ascii="Times New Roman" w:hAnsi="Times New Roman" w:cs="Times New Roman"/>
              </w:rPr>
              <w:t>Bicaval</w:t>
            </w:r>
            <w:proofErr w:type="spellEnd"/>
            <w:r w:rsidRPr="00717F89">
              <w:rPr>
                <w:rFonts w:ascii="Times New Roman" w:hAnsi="Times New Roman" w:cs="Times New Roman"/>
              </w:rPr>
              <w:t xml:space="preserve">, D </w:t>
            </w:r>
            <w:proofErr w:type="spellStart"/>
            <w:r w:rsidRPr="00717F89">
              <w:rPr>
                <w:rFonts w:ascii="Times New Roman" w:hAnsi="Times New Roman" w:cs="Times New Roman"/>
              </w:rPr>
              <w:t>Arch</w:t>
            </w:r>
            <w:proofErr w:type="spellEnd"/>
            <w:r w:rsidRPr="00717F89">
              <w:rPr>
                <w:rFonts w:ascii="Times New Roman" w:hAnsi="Times New Roman" w:cs="Times New Roman"/>
              </w:rPr>
              <w:t>, LVOT, RVOT a następnie podpisuje główne naczynia lub jamy serca na obrazie zamrożonym.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Funkcja obrazująca powiększenie znacznika pomiarowego (lupa), pozwalająca wykonywać pomiary z bardzo dużą precyzją bez konieczności powiększania obszaru zainteresowania. Okno powiększenia wyświetlone poza obrazem diagnostycznym.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Moduł komunikacji DICOM 3.0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Moduł komunikacji DICOM Q/R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Możliwość tworzenia protokołów badań – sekwencje następujących po sobie zdarzeń min. pomiary, zmiana trybów obrazowania.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717F89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 xml:space="preserve">Możliwość uruchomienia w aparacie modułu automatycznie wybierającego głowicę oraz </w:t>
            </w:r>
            <w:proofErr w:type="spellStart"/>
            <w:r w:rsidRPr="00717F89">
              <w:rPr>
                <w:rFonts w:ascii="Times New Roman" w:hAnsi="Times New Roman" w:cs="Times New Roman"/>
              </w:rPr>
              <w:t>preset</w:t>
            </w:r>
            <w:proofErr w:type="spellEnd"/>
            <w:r w:rsidRPr="00717F89">
              <w:rPr>
                <w:rFonts w:ascii="Times New Roman" w:hAnsi="Times New Roman" w:cs="Times New Roman"/>
              </w:rPr>
              <w:t xml:space="preserve"> w zależności od podanego wieku płodu (GA) - poprzez wpisanie LMP lub EDD w polu pacjenta.</w:t>
            </w:r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717F89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F89">
              <w:rPr>
                <w:rFonts w:ascii="Times New Roman" w:hAnsi="Times New Roman" w:cs="Times New Roman"/>
              </w:rPr>
              <w:t xml:space="preserve">Aparat wyposażony w fabryczną obudowę </w:t>
            </w:r>
            <w:proofErr w:type="spellStart"/>
            <w:r w:rsidRPr="00717F89">
              <w:rPr>
                <w:rFonts w:ascii="Times New Roman" w:hAnsi="Times New Roman" w:cs="Times New Roman"/>
              </w:rPr>
              <w:t>printera</w:t>
            </w:r>
            <w:proofErr w:type="spellEnd"/>
            <w:r w:rsidRPr="00717F89">
              <w:rPr>
                <w:rFonts w:ascii="Times New Roman" w:hAnsi="Times New Roman" w:cs="Times New Roman"/>
              </w:rPr>
              <w:t xml:space="preserve"> oraz fabryczny uchwyt na głowicę </w:t>
            </w:r>
            <w:proofErr w:type="spellStart"/>
            <w:r w:rsidRPr="00717F89">
              <w:rPr>
                <w:rFonts w:ascii="Times New Roman" w:hAnsi="Times New Roman" w:cs="Times New Roman"/>
              </w:rPr>
              <w:t>endo</w:t>
            </w:r>
            <w:proofErr w:type="spellEnd"/>
          </w:p>
        </w:tc>
        <w:tc>
          <w:tcPr>
            <w:tcW w:w="1418" w:type="dxa"/>
          </w:tcPr>
          <w:p w:rsidR="00C7187C" w:rsidRPr="003B3375" w:rsidRDefault="00C7187C" w:rsidP="00C718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70653D">
        <w:trPr>
          <w:trHeight w:val="20"/>
          <w:jc w:val="center"/>
        </w:trPr>
        <w:tc>
          <w:tcPr>
            <w:tcW w:w="10390" w:type="dxa"/>
            <w:gridSpan w:val="5"/>
            <w:noWrap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GoBack"/>
            <w:bookmarkEnd w:id="1"/>
            <w:r w:rsidRPr="003B3375">
              <w:rPr>
                <w:rFonts w:ascii="Times New Roman" w:hAnsi="Times New Roman" w:cs="Times New Roman"/>
                <w:b/>
              </w:rPr>
              <w:t xml:space="preserve">Głowica </w:t>
            </w:r>
            <w:proofErr w:type="spellStart"/>
            <w:r w:rsidRPr="003B3375">
              <w:rPr>
                <w:rFonts w:ascii="Times New Roman" w:hAnsi="Times New Roman" w:cs="Times New Roman"/>
                <w:b/>
              </w:rPr>
              <w:t>Convex</w:t>
            </w:r>
            <w:proofErr w:type="spellEnd"/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vAlign w:val="bottom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B3375">
              <w:rPr>
                <w:rFonts w:ascii="Times New Roman" w:hAnsi="Times New Roman" w:cs="Times New Roman"/>
                <w:bCs/>
                <w:color w:val="000000"/>
              </w:rPr>
              <w:t xml:space="preserve">Głowica wykonana w technologii Single </w:t>
            </w:r>
            <w:proofErr w:type="spellStart"/>
            <w:r w:rsidRPr="003B3375">
              <w:rPr>
                <w:rFonts w:ascii="Times New Roman" w:hAnsi="Times New Roman" w:cs="Times New Roman"/>
                <w:bCs/>
                <w:color w:val="000000"/>
              </w:rPr>
              <w:t>Crystal</w:t>
            </w:r>
            <w:proofErr w:type="spellEnd"/>
            <w:r w:rsidRPr="003B3375">
              <w:rPr>
                <w:rFonts w:ascii="Times New Roman" w:hAnsi="Times New Roman" w:cs="Times New Roman"/>
                <w:bCs/>
                <w:color w:val="000000"/>
              </w:rPr>
              <w:t xml:space="preserve"> lub matrycowej do badań brzusznych oraz ginekologicznych, podać typ.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</w:rPr>
              <w:t>Zakres częstotliwości pracy Min. 1,0-7,0 MHz.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tabs>
                <w:tab w:val="center" w:pos="2338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</w:rPr>
              <w:t>Liczba elementów - min. 190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</w:rPr>
              <w:t>Kąt skanowania min. 100°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</w:rPr>
              <w:t>Możliwość pracy z przystawką biopsyjną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70653D">
        <w:trPr>
          <w:trHeight w:val="20"/>
          <w:jc w:val="center"/>
        </w:trPr>
        <w:tc>
          <w:tcPr>
            <w:tcW w:w="10390" w:type="dxa"/>
            <w:gridSpan w:val="5"/>
            <w:noWrap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 xml:space="preserve">Głowica liniowa </w:t>
            </w: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vAlign w:val="bottom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B3375">
              <w:rPr>
                <w:rFonts w:ascii="Times New Roman" w:hAnsi="Times New Roman" w:cs="Times New Roman"/>
                <w:bCs/>
              </w:rPr>
              <w:t xml:space="preserve">Głowica </w:t>
            </w:r>
            <w:r w:rsidRPr="003B3375">
              <w:rPr>
                <w:rFonts w:ascii="Times New Roman" w:hAnsi="Times New Roman" w:cs="Times New Roman"/>
              </w:rPr>
              <w:t xml:space="preserve">wykonana w technologii </w:t>
            </w:r>
            <w:r w:rsidRPr="003B3375">
              <w:rPr>
                <w:rFonts w:ascii="Times New Roman" w:hAnsi="Times New Roman" w:cs="Times New Roman"/>
                <w:bCs/>
              </w:rPr>
              <w:t xml:space="preserve">Single </w:t>
            </w:r>
            <w:proofErr w:type="spellStart"/>
            <w:r w:rsidRPr="003B3375">
              <w:rPr>
                <w:rFonts w:ascii="Times New Roman" w:hAnsi="Times New Roman" w:cs="Times New Roman"/>
                <w:bCs/>
              </w:rPr>
              <w:t>Crystal</w:t>
            </w:r>
            <w:proofErr w:type="spellEnd"/>
            <w:r w:rsidRPr="003B3375">
              <w:rPr>
                <w:rFonts w:ascii="Times New Roman" w:hAnsi="Times New Roman" w:cs="Times New Roman"/>
                <w:bCs/>
              </w:rPr>
              <w:t xml:space="preserve"> </w:t>
            </w:r>
            <w:r w:rsidRPr="003B3375">
              <w:rPr>
                <w:rFonts w:ascii="Times New Roman" w:hAnsi="Times New Roman" w:cs="Times New Roman"/>
              </w:rPr>
              <w:t xml:space="preserve">lub matrycowej do badań mięśniowo-szkieletowych, małych narządów, naczyniowych, </w:t>
            </w:r>
            <w:r w:rsidRPr="003B3375">
              <w:rPr>
                <w:rFonts w:ascii="Times New Roman" w:hAnsi="Times New Roman" w:cs="Times New Roman"/>
                <w:bCs/>
              </w:rPr>
              <w:t>podać typ.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Zakres częstotliwości pracy min. 2,0-14,0 MHz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Liczba elementów min. 250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Szerokość pola skanowania min. 50 mm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</w:rPr>
              <w:t>Możliwość pracy z przystawką biopsyjną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70653D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 xml:space="preserve">Głowica </w:t>
            </w:r>
            <w:proofErr w:type="spellStart"/>
            <w:r w:rsidRPr="003B3375">
              <w:rPr>
                <w:rFonts w:ascii="Times New Roman" w:hAnsi="Times New Roman" w:cs="Times New Roman"/>
                <w:b/>
              </w:rPr>
              <w:t>endokawitarna</w:t>
            </w:r>
            <w:proofErr w:type="spellEnd"/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vAlign w:val="bottom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B3375">
              <w:rPr>
                <w:rFonts w:ascii="Times New Roman" w:hAnsi="Times New Roman" w:cs="Times New Roman"/>
                <w:bCs/>
                <w:color w:val="000000"/>
              </w:rPr>
              <w:t xml:space="preserve">Głowica </w:t>
            </w:r>
            <w:proofErr w:type="spellStart"/>
            <w:r w:rsidRPr="003B3375">
              <w:rPr>
                <w:rFonts w:ascii="Times New Roman" w:hAnsi="Times New Roman" w:cs="Times New Roman"/>
                <w:bCs/>
                <w:color w:val="000000"/>
              </w:rPr>
              <w:t>endokawitarna</w:t>
            </w:r>
            <w:proofErr w:type="spellEnd"/>
            <w:r w:rsidRPr="003B337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3B3375">
              <w:rPr>
                <w:rFonts w:ascii="Times New Roman" w:hAnsi="Times New Roman" w:cs="Times New Roman"/>
              </w:rPr>
              <w:t>do badań ginekologicznych, podać typ.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Zakres częstotliwości pracy min. 2,0 – 11,0 MHz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Liczba elementów min. 190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Kąt skanowania min. 150°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Wyposażona w przystawkę biopsyjną wielorazowego użytku 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70653D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 xml:space="preserve">Głowica </w:t>
            </w:r>
            <w:proofErr w:type="spellStart"/>
            <w:r w:rsidRPr="003B3375">
              <w:rPr>
                <w:rFonts w:ascii="Times New Roman" w:hAnsi="Times New Roman" w:cs="Times New Roman"/>
                <w:b/>
              </w:rPr>
              <w:t>endorektalna</w:t>
            </w:r>
            <w:proofErr w:type="spellEnd"/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  <w:bCs/>
                <w:color w:val="000000"/>
              </w:rPr>
              <w:t xml:space="preserve">Głowica </w:t>
            </w:r>
            <w:proofErr w:type="spellStart"/>
            <w:r w:rsidRPr="003B3375">
              <w:rPr>
                <w:rFonts w:ascii="Times New Roman" w:hAnsi="Times New Roman" w:cs="Times New Roman"/>
                <w:bCs/>
                <w:color w:val="000000"/>
              </w:rPr>
              <w:t>endorektalna</w:t>
            </w:r>
            <w:proofErr w:type="spellEnd"/>
            <w:r w:rsidRPr="003B337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3B3375">
              <w:rPr>
                <w:rFonts w:ascii="Times New Roman" w:hAnsi="Times New Roman" w:cs="Times New Roman"/>
              </w:rPr>
              <w:t>do badań ginekologicznych, podać typ.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Zakres częstotliwości pracy min. 2,0 – 11,0 MHz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Liczba elementów min. 190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Kąt skanowania min. 150°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Wyposażona w przystawkę biopsyjną wielorazowego użytku 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543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70653D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3375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Okres gwarancji – min. 36 miesięcy</w:t>
            </w:r>
          </w:p>
        </w:tc>
        <w:tc>
          <w:tcPr>
            <w:tcW w:w="1418" w:type="dxa"/>
            <w:vAlign w:val="center"/>
          </w:tcPr>
          <w:p w:rsidR="00C7187C" w:rsidRPr="003B3375" w:rsidRDefault="00DE7E27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E27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E7E27" w:rsidRPr="000353C4" w:rsidRDefault="00DE7E27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DE7E27" w:rsidRPr="00DE7E27" w:rsidRDefault="00DE7E27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E27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 xml:space="preserve">Integracja z posiadanym przez Zamawiającego systemem PASC/RIS firmy </w:t>
            </w:r>
            <w:proofErr w:type="spellStart"/>
            <w:r w:rsidRPr="00DE7E27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>Pixel</w:t>
            </w:r>
            <w:proofErr w:type="spellEnd"/>
            <w:r w:rsidRPr="00DE7E27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>. Zakup licencji i konfiguracji po stronie dostawcy.</w:t>
            </w:r>
          </w:p>
        </w:tc>
        <w:tc>
          <w:tcPr>
            <w:tcW w:w="1418" w:type="dxa"/>
            <w:vAlign w:val="center"/>
          </w:tcPr>
          <w:p w:rsidR="00DE7E27" w:rsidRPr="003B3375" w:rsidRDefault="00DE7E27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</w:tcPr>
          <w:p w:rsidR="00DE7E27" w:rsidRPr="003B3375" w:rsidRDefault="00DE7E27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DE7E27" w:rsidRPr="003B3375" w:rsidRDefault="00DE7E27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- częstotliwość przeglądów</w:t>
            </w:r>
          </w:p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(przy dostawie)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87C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C7187C" w:rsidRPr="000353C4" w:rsidRDefault="00C7187C" w:rsidP="00C7187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3B3375">
              <w:rPr>
                <w:rFonts w:ascii="Times New Roman" w:hAnsi="Times New Roman" w:cs="Times New Roman"/>
                <w:bCs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418" w:type="dxa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</w:tcPr>
          <w:p w:rsidR="00C7187C" w:rsidRPr="003B3375" w:rsidRDefault="00C7187C" w:rsidP="00C71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C7187C" w:rsidRPr="003B3375" w:rsidRDefault="00C7187C" w:rsidP="00C718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25E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B7225E" w:rsidRPr="000353C4" w:rsidRDefault="00B7225E" w:rsidP="00B7225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</w:tcPr>
          <w:p w:rsidR="00B7225E" w:rsidRPr="0094511D" w:rsidRDefault="00B7225E" w:rsidP="00B722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>Możliwość maszynowego mycia i dezynfekcji w automatach myjąco-dezynfekujących (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preferowana </w:t>
            </w: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 xml:space="preserve">dezynfekcja termiczna 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90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C/5 minut, środek myjący Neodisher </w:t>
            </w:r>
            <w:r>
              <w:rPr>
                <w:rFonts w:ascii="Times New Roman" w:eastAsia="Times New Roman" w:hAnsi="Times New Roman" w:cs="Times New Roman"/>
                <w:noProof/>
              </w:rPr>
              <w:t>Advance.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t>Wyłącznie w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przypadku wyrobów termowrażliwych maszynowe przygotowanie asortymentu z wykorzystaniem dezynfekcji chemiczno-termicznej do 60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C z użyciem środka dezynfekcyjnego Neodisher Septo DN)</w:t>
            </w: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 xml:space="preserve">, możliwość sterylizacji wysokotemperaturowej przy użyciu pary wodnej 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pod ciśnieniem w temperaturze 134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C/</w:t>
            </w:r>
            <w:r>
              <w:rPr>
                <w:rFonts w:ascii="Times New Roman" w:eastAsia="Times New Roman" w:hAnsi="Times New Roman" w:cs="Times New Roman"/>
                <w:noProof/>
              </w:rPr>
              <w:t>5.3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minut lub 121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C/</w:t>
            </w:r>
            <w:r>
              <w:rPr>
                <w:rFonts w:ascii="Times New Roman" w:eastAsia="Times New Roman" w:hAnsi="Times New Roman" w:cs="Times New Roman"/>
                <w:noProof/>
              </w:rPr>
              <w:t>15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minut</w:t>
            </w: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 xml:space="preserve"> lub w przypadku wyrobów termowrażliwych możliwość sterylizacji niskotemperaturowej przy zastosowaniu plazmy w systemie Sterrad 100NX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1418" w:type="dxa"/>
            <w:vAlign w:val="center"/>
          </w:tcPr>
          <w:p w:rsidR="00B7225E" w:rsidRPr="003B3375" w:rsidRDefault="00B7225E" w:rsidP="00B7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</w:tcPr>
          <w:p w:rsidR="00B7225E" w:rsidRPr="003B3375" w:rsidRDefault="00B7225E" w:rsidP="00B72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B7225E" w:rsidRPr="003B3375" w:rsidRDefault="00B7225E" w:rsidP="00B7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25E" w:rsidRPr="000353C4" w:rsidTr="005F6B6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B7225E" w:rsidRPr="000353C4" w:rsidRDefault="00B7225E" w:rsidP="00B7225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84" w:type="dxa"/>
            <w:vAlign w:val="center"/>
          </w:tcPr>
          <w:p w:rsidR="00B7225E" w:rsidRPr="003B3375" w:rsidRDefault="00B7225E" w:rsidP="00B722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3B3375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udokoumentowane imiennymi zaświadczeniami.</w:t>
            </w:r>
          </w:p>
        </w:tc>
        <w:tc>
          <w:tcPr>
            <w:tcW w:w="1418" w:type="dxa"/>
            <w:vAlign w:val="center"/>
          </w:tcPr>
          <w:p w:rsidR="00B7225E" w:rsidRPr="003B3375" w:rsidRDefault="00B7225E" w:rsidP="00B7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3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543" w:type="dxa"/>
          </w:tcPr>
          <w:p w:rsidR="00B7225E" w:rsidRPr="003B3375" w:rsidRDefault="00B7225E" w:rsidP="00B72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:rsidR="00B7225E" w:rsidRPr="003B3375" w:rsidRDefault="00B7225E" w:rsidP="00B7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6945D2" w:rsidRPr="000353C4" w:rsidRDefault="006945D2" w:rsidP="006945D2">
      <w:pPr>
        <w:rPr>
          <w:rFonts w:ascii="Times New Roman" w:hAnsi="Times New Roman" w:cs="Times New Roman"/>
        </w:rPr>
      </w:pPr>
    </w:p>
    <w:sectPr w:rsidR="006945D2" w:rsidRPr="000353C4" w:rsidSect="007065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F89" w:rsidRDefault="00717F89" w:rsidP="001259ED">
      <w:pPr>
        <w:spacing w:after="0" w:line="240" w:lineRule="auto"/>
      </w:pPr>
      <w:r>
        <w:separator/>
      </w:r>
    </w:p>
  </w:endnote>
  <w:endnote w:type="continuationSeparator" w:id="0">
    <w:p w:rsidR="00717F89" w:rsidRDefault="00717F89" w:rsidP="0012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F89" w:rsidRDefault="00717F89" w:rsidP="001259ED">
      <w:pPr>
        <w:spacing w:after="0" w:line="240" w:lineRule="auto"/>
      </w:pPr>
      <w:r>
        <w:separator/>
      </w:r>
    </w:p>
  </w:footnote>
  <w:footnote w:type="continuationSeparator" w:id="0">
    <w:p w:rsidR="00717F89" w:rsidRDefault="00717F89" w:rsidP="0012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89" w:rsidRDefault="00717F89">
    <w:pPr>
      <w:pStyle w:val="Nagwek"/>
    </w:pPr>
    <w:r>
      <w:rPr>
        <w:noProof/>
      </w:rPr>
      <w:drawing>
        <wp:inline distT="0" distB="0" distL="0" distR="0">
          <wp:extent cx="576072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5B00"/>
    <w:multiLevelType w:val="hybridMultilevel"/>
    <w:tmpl w:val="6B66AA80"/>
    <w:lvl w:ilvl="0" w:tplc="C4FA64E6">
      <w:start w:val="1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23340"/>
    <w:multiLevelType w:val="hybridMultilevel"/>
    <w:tmpl w:val="A6B2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26CAF"/>
    <w:multiLevelType w:val="hybridMultilevel"/>
    <w:tmpl w:val="76B43FD4"/>
    <w:lvl w:ilvl="0" w:tplc="D29EB40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64949"/>
    <w:multiLevelType w:val="hybridMultilevel"/>
    <w:tmpl w:val="98207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C1C"/>
    <w:multiLevelType w:val="hybridMultilevel"/>
    <w:tmpl w:val="2598AFF4"/>
    <w:lvl w:ilvl="0" w:tplc="F00202F0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50984"/>
    <w:multiLevelType w:val="hybridMultilevel"/>
    <w:tmpl w:val="5D5C07DC"/>
    <w:lvl w:ilvl="0" w:tplc="F5C897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54831"/>
    <w:multiLevelType w:val="hybridMultilevel"/>
    <w:tmpl w:val="351A8A7C"/>
    <w:lvl w:ilvl="0" w:tplc="5C466892">
      <w:start w:val="6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D4D59"/>
    <w:multiLevelType w:val="hybridMultilevel"/>
    <w:tmpl w:val="8FA42A06"/>
    <w:lvl w:ilvl="0" w:tplc="0C94CDB8">
      <w:start w:val="6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F73CB"/>
    <w:multiLevelType w:val="hybridMultilevel"/>
    <w:tmpl w:val="FE640EF0"/>
    <w:lvl w:ilvl="0" w:tplc="4FE8E8BC">
      <w:start w:val="1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18"/>
  </w:num>
  <w:num w:numId="6">
    <w:abstractNumId w:val="15"/>
  </w:num>
  <w:num w:numId="7">
    <w:abstractNumId w:val="17"/>
  </w:num>
  <w:num w:numId="8">
    <w:abstractNumId w:val="10"/>
  </w:num>
  <w:num w:numId="9">
    <w:abstractNumId w:val="14"/>
  </w:num>
  <w:num w:numId="10">
    <w:abstractNumId w:val="9"/>
  </w:num>
  <w:num w:numId="11">
    <w:abstractNumId w:val="16"/>
  </w:num>
  <w:num w:numId="12">
    <w:abstractNumId w:val="5"/>
  </w:num>
  <w:num w:numId="13">
    <w:abstractNumId w:val="2"/>
  </w:num>
  <w:num w:numId="14">
    <w:abstractNumId w:val="1"/>
  </w:num>
  <w:num w:numId="15">
    <w:abstractNumId w:val="11"/>
  </w:num>
  <w:num w:numId="16">
    <w:abstractNumId w:val="13"/>
  </w:num>
  <w:num w:numId="17">
    <w:abstractNumId w:val="7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2"/>
    <w:rsid w:val="00036F7F"/>
    <w:rsid w:val="00070109"/>
    <w:rsid w:val="001259ED"/>
    <w:rsid w:val="00155E6B"/>
    <w:rsid w:val="0017624B"/>
    <w:rsid w:val="001D5602"/>
    <w:rsid w:val="001E7ED0"/>
    <w:rsid w:val="00201482"/>
    <w:rsid w:val="002A1767"/>
    <w:rsid w:val="00310AF2"/>
    <w:rsid w:val="00312E79"/>
    <w:rsid w:val="00392957"/>
    <w:rsid w:val="003B3375"/>
    <w:rsid w:val="003B720E"/>
    <w:rsid w:val="00404D88"/>
    <w:rsid w:val="00435F4A"/>
    <w:rsid w:val="004A10DD"/>
    <w:rsid w:val="004D57F2"/>
    <w:rsid w:val="004E07DC"/>
    <w:rsid w:val="004F314D"/>
    <w:rsid w:val="00505161"/>
    <w:rsid w:val="005266DA"/>
    <w:rsid w:val="00552C58"/>
    <w:rsid w:val="00572773"/>
    <w:rsid w:val="005750DD"/>
    <w:rsid w:val="0059696E"/>
    <w:rsid w:val="005A06F3"/>
    <w:rsid w:val="005B3AF7"/>
    <w:rsid w:val="005F63C4"/>
    <w:rsid w:val="005F6B6B"/>
    <w:rsid w:val="006945D2"/>
    <w:rsid w:val="006F3E54"/>
    <w:rsid w:val="0070653D"/>
    <w:rsid w:val="00717F89"/>
    <w:rsid w:val="007443D3"/>
    <w:rsid w:val="00820C5C"/>
    <w:rsid w:val="00847F7C"/>
    <w:rsid w:val="008B125D"/>
    <w:rsid w:val="00983A9F"/>
    <w:rsid w:val="0099512E"/>
    <w:rsid w:val="009B684C"/>
    <w:rsid w:val="009E7DD2"/>
    <w:rsid w:val="00A01918"/>
    <w:rsid w:val="00AF4205"/>
    <w:rsid w:val="00B12779"/>
    <w:rsid w:val="00B30598"/>
    <w:rsid w:val="00B4745F"/>
    <w:rsid w:val="00B7225E"/>
    <w:rsid w:val="00B77943"/>
    <w:rsid w:val="00B95B95"/>
    <w:rsid w:val="00BE5714"/>
    <w:rsid w:val="00C025B7"/>
    <w:rsid w:val="00C7187C"/>
    <w:rsid w:val="00CA7B72"/>
    <w:rsid w:val="00CB2567"/>
    <w:rsid w:val="00CE2456"/>
    <w:rsid w:val="00D9312A"/>
    <w:rsid w:val="00DD0D82"/>
    <w:rsid w:val="00DE7E27"/>
    <w:rsid w:val="00E14CAC"/>
    <w:rsid w:val="00E379E6"/>
    <w:rsid w:val="00F3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BD1629"/>
  <w15:chartTrackingRefBased/>
  <w15:docId w15:val="{0673521A-2C45-4F67-9AB9-B9406745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5D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6945D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6945D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59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59E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59E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DE7E27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B7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B7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2231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Lesław Peter</cp:lastModifiedBy>
  <cp:revision>5</cp:revision>
  <dcterms:created xsi:type="dcterms:W3CDTF">2025-10-16T10:53:00Z</dcterms:created>
  <dcterms:modified xsi:type="dcterms:W3CDTF">2025-10-16T11:29:00Z</dcterms:modified>
</cp:coreProperties>
</file>