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F1F4" w14:textId="77777777" w:rsidR="006A2527" w:rsidRDefault="006A2527" w:rsidP="006A2527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6DBDBCC4" w:rsidR="00480126" w:rsidRPr="006016FF" w:rsidRDefault="006016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Monitor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Pr="00E2702A" w:rsidRDefault="00F705FC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Pr="00E2702A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r w:rsidRPr="00E2702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29" w14:textId="54CFE9B0" w:rsidR="00480126" w:rsidRPr="00E2702A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ciekłokrystaliczny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aktywną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matrycą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E04ECF"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CB5B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6,5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”</w:t>
            </w:r>
          </w:p>
        </w:tc>
        <w:tc>
          <w:tcPr>
            <w:tcW w:w="1275" w:type="dxa"/>
          </w:tcPr>
          <w:p w14:paraId="1855302A" w14:textId="77777777" w:rsidR="00480126" w:rsidRPr="00E2702A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Pr="00E2702A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Pr="00E2702A" w:rsidRDefault="00F705F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Rozmiar</w:t>
            </w:r>
            <w:r w:rsidRPr="00E2702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plamki</w:t>
            </w:r>
          </w:p>
        </w:tc>
        <w:tc>
          <w:tcPr>
            <w:tcW w:w="5389" w:type="dxa"/>
          </w:tcPr>
          <w:p w14:paraId="1855302E" w14:textId="120CA638" w:rsidR="00480126" w:rsidRPr="00E2702A" w:rsidRDefault="00F705FC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E2702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  <w:r w:rsidR="00540997" w:rsidRPr="00E2702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2702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mm</w:t>
            </w:r>
            <w:r w:rsidR="00CB5B7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x 0,24 mm</w:t>
            </w:r>
          </w:p>
        </w:tc>
        <w:tc>
          <w:tcPr>
            <w:tcW w:w="1275" w:type="dxa"/>
          </w:tcPr>
          <w:p w14:paraId="1855302F" w14:textId="77777777" w:rsidR="00480126" w:rsidRPr="00E2702A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Pr="00E2702A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Pr="00E2702A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Jasność</w:t>
            </w:r>
          </w:p>
        </w:tc>
        <w:tc>
          <w:tcPr>
            <w:tcW w:w="5389" w:type="dxa"/>
          </w:tcPr>
          <w:p w14:paraId="18553033" w14:textId="7503D77F" w:rsidR="00480126" w:rsidRPr="00E2702A" w:rsidRDefault="004C148F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705FC" w:rsidRPr="00E2702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F705FC" w:rsidRPr="00E2702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F705FC"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Pr="00E2702A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Pr="00E2702A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Pr="00E2702A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Kontrast</w:t>
            </w:r>
          </w:p>
        </w:tc>
        <w:tc>
          <w:tcPr>
            <w:tcW w:w="5389" w:type="dxa"/>
          </w:tcPr>
          <w:p w14:paraId="18553038" w14:textId="6BC3B5AE" w:rsidR="00480126" w:rsidRPr="00E2702A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Typowy</w:t>
            </w:r>
            <w:r w:rsidRPr="00E2702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BE3ED4"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00:1</w:t>
            </w:r>
          </w:p>
        </w:tc>
        <w:tc>
          <w:tcPr>
            <w:tcW w:w="1275" w:type="dxa"/>
          </w:tcPr>
          <w:p w14:paraId="18553039" w14:textId="77777777" w:rsidR="00480126" w:rsidRPr="00E2702A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Pr="00E2702A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Pr="00E2702A" w:rsidRDefault="00F705FC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  <w:r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widzenia</w:t>
            </w:r>
          </w:p>
          <w:p w14:paraId="1855303D" w14:textId="77777777" w:rsidR="00480126" w:rsidRPr="00E2702A" w:rsidRDefault="00F705FC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Pr="00E2702A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178/178</w:t>
            </w:r>
            <w:r w:rsidRPr="00E2702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Pr="00E2702A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Pr="00E2702A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Pr="00E2702A" w:rsidRDefault="00F705FC">
            <w:pPr>
              <w:pStyle w:val="TableParagraph"/>
              <w:spacing w:line="240" w:lineRule="atLeast"/>
              <w:ind w:left="107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Czas</w:t>
            </w:r>
            <w:r w:rsidRPr="00E2702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reakcji matrycy</w:t>
            </w:r>
          </w:p>
        </w:tc>
        <w:tc>
          <w:tcPr>
            <w:tcW w:w="5389" w:type="dxa"/>
          </w:tcPr>
          <w:p w14:paraId="18553043" w14:textId="77777777" w:rsidR="00480126" w:rsidRPr="00E2702A" w:rsidRDefault="00F705FC">
            <w:pPr>
              <w:pStyle w:val="TableParagraph"/>
              <w:spacing w:line="240" w:lineRule="atLeas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E2702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szarego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tryb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szybki)</w:t>
            </w:r>
            <w:r w:rsidRPr="00E2702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E2702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do szarego - tryb normalny)</w:t>
            </w:r>
          </w:p>
        </w:tc>
        <w:tc>
          <w:tcPr>
            <w:tcW w:w="1275" w:type="dxa"/>
          </w:tcPr>
          <w:p w14:paraId="18553044" w14:textId="77777777" w:rsidR="00480126" w:rsidRPr="00E2702A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Pr="00E2702A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Pr="00E2702A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Rozdzielczość</w:t>
            </w:r>
          </w:p>
          <w:p w14:paraId="18553048" w14:textId="77777777" w:rsidR="00480126" w:rsidRPr="00E2702A" w:rsidRDefault="00F705FC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minimalna</w:t>
            </w:r>
          </w:p>
        </w:tc>
        <w:tc>
          <w:tcPr>
            <w:tcW w:w="5389" w:type="dxa"/>
          </w:tcPr>
          <w:p w14:paraId="18553049" w14:textId="48420CE6" w:rsidR="00480126" w:rsidRPr="00E2702A" w:rsidRDefault="00F53798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2560 x 1440</w:t>
            </w:r>
            <w:r w:rsidR="00F705FC"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F705FC" w:rsidRPr="00E2702A">
              <w:rPr>
                <w:rFonts w:asciiTheme="minorHAnsi" w:hAnsiTheme="minorHAnsi" w:cstheme="minorHAnsi"/>
                <w:sz w:val="20"/>
                <w:szCs w:val="20"/>
              </w:rPr>
              <w:t>pikseli</w:t>
            </w:r>
            <w:r w:rsidR="00F705FC" w:rsidRPr="00E2702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F705FC" w:rsidRPr="00E2702A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="00F705FC"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3C5060"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12</w:t>
            </w:r>
            <w:r w:rsidR="00F705FC"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0Hz</w:t>
            </w:r>
          </w:p>
        </w:tc>
        <w:tc>
          <w:tcPr>
            <w:tcW w:w="1275" w:type="dxa"/>
          </w:tcPr>
          <w:p w14:paraId="1855304A" w14:textId="77777777" w:rsidR="00480126" w:rsidRPr="00E2702A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73687580" w14:textId="77777777">
        <w:trPr>
          <w:trHeight w:val="486"/>
        </w:trPr>
        <w:tc>
          <w:tcPr>
            <w:tcW w:w="557" w:type="dxa"/>
          </w:tcPr>
          <w:p w14:paraId="5498BC90" w14:textId="642FF342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8.</w:t>
            </w:r>
          </w:p>
        </w:tc>
        <w:tc>
          <w:tcPr>
            <w:tcW w:w="1849" w:type="dxa"/>
          </w:tcPr>
          <w:p w14:paraId="0286C8FE" w14:textId="02A74612" w:rsidR="00CB5B7C" w:rsidRPr="00E2702A" w:rsidRDefault="00CB5B7C" w:rsidP="00CB5B7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Gama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kolorów</w:t>
            </w:r>
          </w:p>
        </w:tc>
        <w:tc>
          <w:tcPr>
            <w:tcW w:w="5389" w:type="dxa"/>
          </w:tcPr>
          <w:p w14:paraId="5008F2E2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 xml:space="preserve">100% </w:t>
            </w:r>
            <w:proofErr w:type="spellStart"/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sRGB</w:t>
            </w:r>
            <w:proofErr w:type="spellEnd"/>
          </w:p>
          <w:p w14:paraId="025AB26E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100% BT. 709</w:t>
            </w:r>
          </w:p>
          <w:p w14:paraId="6C7BCFC5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98% Display P3</w:t>
            </w:r>
          </w:p>
          <w:p w14:paraId="07D9623D" w14:textId="64DEA00B" w:rsidR="00CB5B7C" w:rsidRPr="00E2702A" w:rsidRDefault="00CB5B7C" w:rsidP="00CB5B7C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98% DCI-P3</w:t>
            </w:r>
          </w:p>
        </w:tc>
        <w:tc>
          <w:tcPr>
            <w:tcW w:w="1275" w:type="dxa"/>
          </w:tcPr>
          <w:p w14:paraId="399A66D9" w14:textId="4BAEB0EB" w:rsidR="00CB5B7C" w:rsidRPr="00E2702A" w:rsidRDefault="00CB5B7C" w:rsidP="00CB5B7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18553051" w14:textId="77777777">
        <w:trPr>
          <w:trHeight w:val="486"/>
        </w:trPr>
        <w:tc>
          <w:tcPr>
            <w:tcW w:w="557" w:type="dxa"/>
          </w:tcPr>
          <w:p w14:paraId="1855304C" w14:textId="33BF871A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4D" w14:textId="77777777" w:rsidR="00CB5B7C" w:rsidRPr="00E2702A" w:rsidRDefault="00CB5B7C" w:rsidP="00CB5B7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Zużycie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energii</w:t>
            </w:r>
          </w:p>
        </w:tc>
        <w:tc>
          <w:tcPr>
            <w:tcW w:w="5389" w:type="dxa"/>
          </w:tcPr>
          <w:p w14:paraId="1855304F" w14:textId="53D6B859" w:rsidR="00CB5B7C" w:rsidRPr="00E2702A" w:rsidRDefault="00CB5B7C" w:rsidP="00CB5B7C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Typowe zużycie energii nie przekraczające 25W</w:t>
            </w:r>
          </w:p>
        </w:tc>
        <w:tc>
          <w:tcPr>
            <w:tcW w:w="1275" w:type="dxa"/>
          </w:tcPr>
          <w:p w14:paraId="18553050" w14:textId="77777777" w:rsidR="00CB5B7C" w:rsidRPr="00E2702A" w:rsidRDefault="00CB5B7C" w:rsidP="00CB5B7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18553057" w14:textId="77777777">
        <w:trPr>
          <w:trHeight w:val="489"/>
        </w:trPr>
        <w:tc>
          <w:tcPr>
            <w:tcW w:w="557" w:type="dxa"/>
          </w:tcPr>
          <w:p w14:paraId="18553052" w14:textId="7557CFB2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3" w14:textId="77777777" w:rsidR="00CB5B7C" w:rsidRPr="00E2702A" w:rsidRDefault="00CB5B7C" w:rsidP="00CB5B7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Powłoka</w:t>
            </w:r>
          </w:p>
          <w:p w14:paraId="18553054" w14:textId="77777777" w:rsidR="00CB5B7C" w:rsidRPr="00E2702A" w:rsidRDefault="00CB5B7C" w:rsidP="00CB5B7C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w w:val="95"/>
                <w:sz w:val="20"/>
                <w:szCs w:val="20"/>
              </w:rPr>
              <w:t>powierzchni</w:t>
            </w:r>
            <w:r w:rsidRPr="00E2702A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55" w14:textId="1282D9E4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w w:val="95"/>
                <w:sz w:val="20"/>
                <w:szCs w:val="20"/>
              </w:rPr>
              <w:t>Antyrefleksyjna,</w:t>
            </w:r>
            <w:r w:rsidRPr="00E2702A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utwardzona 3H</w:t>
            </w:r>
          </w:p>
        </w:tc>
        <w:tc>
          <w:tcPr>
            <w:tcW w:w="1275" w:type="dxa"/>
          </w:tcPr>
          <w:p w14:paraId="18553056" w14:textId="77777777" w:rsidR="00CB5B7C" w:rsidRPr="00E2702A" w:rsidRDefault="00CB5B7C" w:rsidP="00CB5B7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1855305C" w14:textId="77777777">
        <w:trPr>
          <w:trHeight w:val="268"/>
        </w:trPr>
        <w:tc>
          <w:tcPr>
            <w:tcW w:w="557" w:type="dxa"/>
          </w:tcPr>
          <w:p w14:paraId="18553058" w14:textId="442BCAA7" w:rsidR="00CB5B7C" w:rsidRPr="00E2702A" w:rsidRDefault="00CB5B7C" w:rsidP="00CB5B7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9" w14:textId="77777777" w:rsidR="00CB5B7C" w:rsidRPr="00E2702A" w:rsidRDefault="00CB5B7C" w:rsidP="00CB5B7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2702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podświetlenia</w:t>
            </w:r>
            <w:r w:rsidRPr="00E2702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CB5B7C" w:rsidRPr="00E2702A" w:rsidRDefault="00CB5B7C" w:rsidP="00CB5B7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18553062" w14:textId="77777777">
        <w:trPr>
          <w:trHeight w:val="489"/>
        </w:trPr>
        <w:tc>
          <w:tcPr>
            <w:tcW w:w="557" w:type="dxa"/>
          </w:tcPr>
          <w:p w14:paraId="1855305D" w14:textId="70021DDE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12.</w:t>
            </w:r>
          </w:p>
        </w:tc>
        <w:tc>
          <w:tcPr>
            <w:tcW w:w="1849" w:type="dxa"/>
          </w:tcPr>
          <w:p w14:paraId="1855305E" w14:textId="77777777" w:rsidR="00CB5B7C" w:rsidRPr="00E2702A" w:rsidRDefault="00CB5B7C" w:rsidP="00CB5B7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tzw.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Kensington</w:t>
            </w:r>
            <w:proofErr w:type="spellEnd"/>
            <w:r w:rsidRPr="00E2702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Pr="00E2702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(lub</w:t>
            </w:r>
          </w:p>
          <w:p w14:paraId="18553060" w14:textId="77777777" w:rsidR="00CB5B7C" w:rsidRPr="00E2702A" w:rsidRDefault="00CB5B7C" w:rsidP="00CB5B7C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równoważne)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2702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gniazdo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E2702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CB5B7C" w:rsidRPr="00E2702A" w:rsidRDefault="00CB5B7C" w:rsidP="00CB5B7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18553068" w14:textId="77777777">
        <w:trPr>
          <w:trHeight w:val="1034"/>
        </w:trPr>
        <w:tc>
          <w:tcPr>
            <w:tcW w:w="557" w:type="dxa"/>
          </w:tcPr>
          <w:p w14:paraId="18553063" w14:textId="7ABEDD27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13.</w:t>
            </w:r>
          </w:p>
        </w:tc>
        <w:tc>
          <w:tcPr>
            <w:tcW w:w="1849" w:type="dxa"/>
          </w:tcPr>
          <w:p w14:paraId="18553064" w14:textId="77777777" w:rsidR="00CB5B7C" w:rsidRPr="00E2702A" w:rsidRDefault="00CB5B7C" w:rsidP="00CB5B7C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Zakres regulacji</w:t>
            </w:r>
          </w:p>
        </w:tc>
        <w:tc>
          <w:tcPr>
            <w:tcW w:w="5389" w:type="dxa"/>
          </w:tcPr>
          <w:p w14:paraId="18553065" w14:textId="1DDBE03C" w:rsidR="00CB5B7C" w:rsidRPr="00E2702A" w:rsidRDefault="00CB5B7C" w:rsidP="00CB5B7C">
            <w:pPr>
              <w:pStyle w:val="TableParagraph"/>
              <w:spacing w:before="1" w:line="259" w:lineRule="auto"/>
              <w:ind w:left="109" w:right="486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regulowanej</w:t>
            </w:r>
            <w:r w:rsidRPr="00E2702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2702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E2702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2702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mm Odchylenie co najmniej w zakresie od -5° do 21 ° Obracanie w poziomie</w:t>
            </w:r>
          </w:p>
          <w:p w14:paraId="76729279" w14:textId="77777777" w:rsidR="00CB5B7C" w:rsidRPr="00E2702A" w:rsidRDefault="00CB5B7C" w:rsidP="00CB5B7C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Obracanie</w:t>
            </w:r>
            <w:r w:rsidRPr="00E2702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E2702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pionie</w:t>
            </w:r>
          </w:p>
          <w:p w14:paraId="18553066" w14:textId="03F33B39" w:rsidR="00CB5B7C" w:rsidRPr="00E2702A" w:rsidRDefault="00CB5B7C" w:rsidP="00CB5B7C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Interfejs montażowy VESA 100x100 mm</w:t>
            </w:r>
          </w:p>
        </w:tc>
        <w:tc>
          <w:tcPr>
            <w:tcW w:w="1275" w:type="dxa"/>
          </w:tcPr>
          <w:p w14:paraId="18553067" w14:textId="77777777" w:rsidR="00CB5B7C" w:rsidRPr="00E2702A" w:rsidRDefault="00CB5B7C" w:rsidP="00CB5B7C">
            <w:pPr>
              <w:pStyle w:val="TableParagraph"/>
              <w:spacing w:line="244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1855306E" w14:textId="77777777" w:rsidTr="00BD6C65">
        <w:trPr>
          <w:trHeight w:val="1631"/>
        </w:trPr>
        <w:tc>
          <w:tcPr>
            <w:tcW w:w="557" w:type="dxa"/>
          </w:tcPr>
          <w:p w14:paraId="18553069" w14:textId="69C8A2AB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14.</w:t>
            </w:r>
          </w:p>
        </w:tc>
        <w:tc>
          <w:tcPr>
            <w:tcW w:w="1849" w:type="dxa"/>
          </w:tcPr>
          <w:p w14:paraId="1855306A" w14:textId="77777777" w:rsidR="00CB5B7C" w:rsidRPr="00E2702A" w:rsidRDefault="00CB5B7C" w:rsidP="00CB5B7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  <w:r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2702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najmniej</w:t>
            </w:r>
          </w:p>
        </w:tc>
        <w:tc>
          <w:tcPr>
            <w:tcW w:w="5389" w:type="dxa"/>
          </w:tcPr>
          <w:p w14:paraId="7C586C92" w14:textId="28F717E1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1xDisplayPort 1.4</w:t>
            </w:r>
          </w:p>
          <w:p w14:paraId="202E5269" w14:textId="060BBA9B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HDMI 1.4</w:t>
            </w:r>
          </w:p>
          <w:p w14:paraId="2C1C4157" w14:textId="5BDA80D9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 xml:space="preserve">USB-C </w:t>
            </w:r>
          </w:p>
          <w:p w14:paraId="53036D1D" w14:textId="7AEFC80C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 xml:space="preserve">2 x USB 3.2 </w:t>
            </w:r>
            <w:proofErr w:type="spellStart"/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downstream</w:t>
            </w:r>
            <w:proofErr w:type="spellEnd"/>
          </w:p>
          <w:p w14:paraId="7A2F4CFD" w14:textId="03A982AB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Wyjście audio</w:t>
            </w:r>
          </w:p>
          <w:p w14:paraId="48C13B86" w14:textId="0A4B1AF4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Złącza do podłączenia urządzeń z przodu monitora:</w:t>
            </w:r>
          </w:p>
          <w:p w14:paraId="457DC874" w14:textId="7A9BA7F1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 xml:space="preserve">- 2x Port USB-A 3.0 </w:t>
            </w:r>
          </w:p>
          <w:p w14:paraId="1855306C" w14:textId="0F90D1B0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- lub Port USB-A 3.0 oraz  Port USB-C</w:t>
            </w:r>
          </w:p>
        </w:tc>
        <w:tc>
          <w:tcPr>
            <w:tcW w:w="1275" w:type="dxa"/>
          </w:tcPr>
          <w:p w14:paraId="1855306D" w14:textId="77777777" w:rsidR="00CB5B7C" w:rsidRPr="00E2702A" w:rsidRDefault="00CB5B7C" w:rsidP="00CB5B7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CB5B7C" w14:paraId="5F7649E3" w14:textId="77777777" w:rsidTr="003C5060">
        <w:trPr>
          <w:trHeight w:val="1105"/>
        </w:trPr>
        <w:tc>
          <w:tcPr>
            <w:tcW w:w="557" w:type="dxa"/>
          </w:tcPr>
          <w:p w14:paraId="2F1C1E8B" w14:textId="3B25EBD3" w:rsidR="00CB5B7C" w:rsidRPr="00E2702A" w:rsidRDefault="00CB5B7C" w:rsidP="00CB5B7C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15.</w:t>
            </w:r>
          </w:p>
        </w:tc>
        <w:tc>
          <w:tcPr>
            <w:tcW w:w="1849" w:type="dxa"/>
          </w:tcPr>
          <w:p w14:paraId="64CC740A" w14:textId="2D43D0E6" w:rsidR="00CB5B7C" w:rsidRPr="00E2702A" w:rsidRDefault="00CB5B7C" w:rsidP="00CB5B7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389" w:type="dxa"/>
          </w:tcPr>
          <w:p w14:paraId="546BB14C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E2702A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E2702A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Pr="00E2702A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r w:rsidRPr="00E2702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bezpośrednio</w:t>
            </w:r>
            <w:r w:rsidRPr="00E2702A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przez</w:t>
            </w:r>
          </w:p>
          <w:p w14:paraId="427D92C4" w14:textId="77777777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E2702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Pr="00E2702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autoryzowany</w:t>
            </w:r>
            <w:r w:rsidRPr="00E2702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E2702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producenta.</w:t>
            </w:r>
          </w:p>
          <w:p w14:paraId="66744118" w14:textId="77777777" w:rsidR="00CB5B7C" w:rsidRPr="00E2702A" w:rsidRDefault="00CB5B7C" w:rsidP="00CB5B7C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Minimalny</w:t>
            </w:r>
            <w:r w:rsidRPr="00E2702A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r w:rsidRPr="00E2702A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trwania</w:t>
            </w:r>
            <w:r w:rsidRPr="00E2702A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E2702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wynosi</w:t>
            </w:r>
            <w:r w:rsidRPr="00E2702A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E2702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E2702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E2702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E2702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daty</w:t>
            </w:r>
          </w:p>
          <w:p w14:paraId="128C90A8" w14:textId="14F21209" w:rsidR="00CB5B7C" w:rsidRPr="00E2702A" w:rsidRDefault="00CB5B7C" w:rsidP="00CB5B7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dostawy.</w:t>
            </w:r>
          </w:p>
        </w:tc>
        <w:tc>
          <w:tcPr>
            <w:tcW w:w="1275" w:type="dxa"/>
          </w:tcPr>
          <w:p w14:paraId="35963B86" w14:textId="2F963DD2" w:rsidR="00CB5B7C" w:rsidRPr="00E2702A" w:rsidRDefault="00CB5B7C" w:rsidP="00CB5B7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2702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557AE3" w14:paraId="2341ED6B" w14:textId="77777777" w:rsidTr="00E2702A">
        <w:trPr>
          <w:trHeight w:val="615"/>
        </w:trPr>
        <w:tc>
          <w:tcPr>
            <w:tcW w:w="557" w:type="dxa"/>
          </w:tcPr>
          <w:p w14:paraId="65A5E968" w14:textId="24D81EF8" w:rsidR="00557AE3" w:rsidRPr="00E2702A" w:rsidRDefault="00557AE3" w:rsidP="00557AE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28F82D46" w14:textId="4378ABF7" w:rsidR="00557AE3" w:rsidRPr="00E2702A" w:rsidRDefault="00557AE3" w:rsidP="00557AE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</w:p>
        </w:tc>
        <w:tc>
          <w:tcPr>
            <w:tcW w:w="5389" w:type="dxa"/>
          </w:tcPr>
          <w:p w14:paraId="09A92C17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Certyfikat ISO 9001 dla producenta monitora (załączyć dokument potwierdzający spełnianie wymogu)</w:t>
            </w:r>
          </w:p>
          <w:p w14:paraId="3A0D35C3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Certyfikat ISO 14001 dla producenta monitora (załączyć dokument potwierdzający spełnianie wymogu)</w:t>
            </w:r>
          </w:p>
          <w:p w14:paraId="27D457A7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Deklaracja zgodności CE (załączyć do oferty)</w:t>
            </w:r>
          </w:p>
          <w:p w14:paraId="18336508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Certyfikat EPEAT Gold dla oferowanego modelu monitora, dla Polski lub kraju członkowskiego UE – do oferty należy załączyć wydruk ze strony https://www.epeat.net/search-computers-and-displays - załączyć do oferty wydruk z strony</w:t>
            </w:r>
          </w:p>
          <w:p w14:paraId="53ED9EE2" w14:textId="06B7A2B3" w:rsidR="00557AE3" w:rsidRPr="00E2702A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Certyfikat TCO </w:t>
            </w:r>
            <w:proofErr w:type="spellStart"/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Certified</w:t>
            </w:r>
            <w:proofErr w:type="spellEnd"/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 Edge Displays dla oferowanego modelu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monitora - do oferty załączyć certyfikat lub wydruk ze strony http://tcocertified.com/product-finder/</w:t>
            </w:r>
          </w:p>
        </w:tc>
        <w:tc>
          <w:tcPr>
            <w:tcW w:w="1275" w:type="dxa"/>
          </w:tcPr>
          <w:p w14:paraId="5DF536BE" w14:textId="0E643850" w:rsidR="00557AE3" w:rsidRPr="00E2702A" w:rsidRDefault="00557AE3" w:rsidP="00557AE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TAK</w:t>
            </w:r>
          </w:p>
        </w:tc>
      </w:tr>
      <w:tr w:rsidR="00557AE3" w14:paraId="33A1715E" w14:textId="77777777" w:rsidTr="00E2702A">
        <w:trPr>
          <w:trHeight w:val="615"/>
        </w:trPr>
        <w:tc>
          <w:tcPr>
            <w:tcW w:w="557" w:type="dxa"/>
          </w:tcPr>
          <w:p w14:paraId="37F5D5D6" w14:textId="4CE5D69A" w:rsidR="00557AE3" w:rsidRPr="00A84709" w:rsidRDefault="00557AE3" w:rsidP="00557AE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17.</w:t>
            </w:r>
          </w:p>
        </w:tc>
        <w:tc>
          <w:tcPr>
            <w:tcW w:w="1849" w:type="dxa"/>
          </w:tcPr>
          <w:p w14:paraId="6D193487" w14:textId="2866B082" w:rsidR="00557AE3" w:rsidRPr="00A84709" w:rsidRDefault="00557AE3" w:rsidP="00557AE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389" w:type="dxa"/>
          </w:tcPr>
          <w:p w14:paraId="068E278C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Dołączone oprogramowanie producenta monitora z bezterminową licencją na użytkowanie, umożliwiające zarządzanie oferowanym monitorem bezpośrednio z poziomu systemu operacyjnego podłączonego komputera w zakresie:</w:t>
            </w:r>
          </w:p>
          <w:p w14:paraId="168FE1CE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Konfiguracji ustawień wyświetlania obrazu, w tym min:</w:t>
            </w:r>
          </w:p>
          <w:p w14:paraId="28D65B4D" w14:textId="77777777" w:rsidR="00557AE3" w:rsidRPr="008D2203" w:rsidRDefault="00557AE3" w:rsidP="00557AE3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jasność i kontrast (w trybie ręcznym oraz według ustalonego przez użytkownika harmonogramu), </w:t>
            </w:r>
          </w:p>
          <w:p w14:paraId="42796D0B" w14:textId="77777777" w:rsidR="00557AE3" w:rsidRPr="008D2203" w:rsidRDefault="00557AE3" w:rsidP="00557AE3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kolor (w trybie ręcznym oraz automatycznym dla określonych aplikacji), </w:t>
            </w:r>
          </w:p>
          <w:p w14:paraId="47591131" w14:textId="77777777" w:rsidR="00557AE3" w:rsidRPr="008D2203" w:rsidRDefault="00557AE3" w:rsidP="00557AE3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rozdzielczość wyświetlania, częstotliwość odświeżania ekranu oraz orientacja ekranu.</w:t>
            </w:r>
          </w:p>
          <w:p w14:paraId="3EF5689B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Sposobu wyświetlania wielu okien poszczególnych aplikacji jednocześnie w predefiniowanym lub niestandardowym (stworzonym przez użytkownika) układzie, z możliwością przypisania układu wyświetlania okien do konkretnych aplikacji.</w:t>
            </w:r>
          </w:p>
          <w:p w14:paraId="67BADA0C" w14:textId="77777777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Aktualizacji oprogramowania układowego monitora oraz oprogramowania zarządzającego.</w:t>
            </w:r>
          </w:p>
          <w:p w14:paraId="7B010B50" w14:textId="064BF31A" w:rsidR="00557AE3" w:rsidRPr="008D2203" w:rsidRDefault="00557AE3" w:rsidP="00557AE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Możliwość wyeksportowania oraz importowania ustawień.</w:t>
            </w:r>
          </w:p>
        </w:tc>
        <w:tc>
          <w:tcPr>
            <w:tcW w:w="1275" w:type="dxa"/>
          </w:tcPr>
          <w:p w14:paraId="721BE808" w14:textId="2AB9DFC6" w:rsidR="00557AE3" w:rsidRPr="00A84709" w:rsidRDefault="00557AE3" w:rsidP="00557AE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7D3F6F5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 w:rsidP="006D4C62">
      <w:pPr>
        <w:pStyle w:val="Tekstpodstawowy"/>
        <w:spacing w:before="56" w:line="256" w:lineRule="auto"/>
        <w:ind w:left="116"/>
        <w:jc w:val="both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C9A9" w14:textId="77777777" w:rsidR="00982D40" w:rsidRDefault="00982D40">
      <w:r>
        <w:separator/>
      </w:r>
    </w:p>
  </w:endnote>
  <w:endnote w:type="continuationSeparator" w:id="0">
    <w:p w14:paraId="1F8F6A5B" w14:textId="77777777" w:rsidR="00982D40" w:rsidRDefault="009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9EFB" w14:textId="77777777" w:rsidR="00982D40" w:rsidRDefault="00982D40">
      <w:r>
        <w:separator/>
      </w:r>
    </w:p>
  </w:footnote>
  <w:footnote w:type="continuationSeparator" w:id="0">
    <w:p w14:paraId="497CCD02" w14:textId="77777777" w:rsidR="00982D40" w:rsidRDefault="009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7FA88617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E2702A">
                            <w:rPr>
                              <w:color w:val="FF0000"/>
                              <w:spacing w:val="-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7FA88617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E2702A">
                      <w:rPr>
                        <w:color w:val="FF0000"/>
                        <w:spacing w:val="-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0B5D8E"/>
    <w:rsid w:val="001018D2"/>
    <w:rsid w:val="001250FF"/>
    <w:rsid w:val="001259F2"/>
    <w:rsid w:val="00140124"/>
    <w:rsid w:val="00152282"/>
    <w:rsid w:val="001C27B2"/>
    <w:rsid w:val="00247302"/>
    <w:rsid w:val="002D20B9"/>
    <w:rsid w:val="002E031B"/>
    <w:rsid w:val="002F47A2"/>
    <w:rsid w:val="0034196D"/>
    <w:rsid w:val="003C5060"/>
    <w:rsid w:val="004007F9"/>
    <w:rsid w:val="00405688"/>
    <w:rsid w:val="004652B4"/>
    <w:rsid w:val="00480126"/>
    <w:rsid w:val="004B6BE7"/>
    <w:rsid w:val="004C148F"/>
    <w:rsid w:val="004C47CC"/>
    <w:rsid w:val="004D78CC"/>
    <w:rsid w:val="00540997"/>
    <w:rsid w:val="00557AE3"/>
    <w:rsid w:val="00574B6E"/>
    <w:rsid w:val="00592908"/>
    <w:rsid w:val="005D6BAB"/>
    <w:rsid w:val="006016FF"/>
    <w:rsid w:val="006069A7"/>
    <w:rsid w:val="00644B81"/>
    <w:rsid w:val="006A2527"/>
    <w:rsid w:val="006D4C62"/>
    <w:rsid w:val="006E46F5"/>
    <w:rsid w:val="0071126F"/>
    <w:rsid w:val="00767AB2"/>
    <w:rsid w:val="007E2C48"/>
    <w:rsid w:val="00853D71"/>
    <w:rsid w:val="00865445"/>
    <w:rsid w:val="00893E9E"/>
    <w:rsid w:val="00904D53"/>
    <w:rsid w:val="00936EC8"/>
    <w:rsid w:val="00982D40"/>
    <w:rsid w:val="00993B7E"/>
    <w:rsid w:val="00A65A72"/>
    <w:rsid w:val="00A854CF"/>
    <w:rsid w:val="00AA57D9"/>
    <w:rsid w:val="00AB05FD"/>
    <w:rsid w:val="00B10DD1"/>
    <w:rsid w:val="00B877E5"/>
    <w:rsid w:val="00BD1E13"/>
    <w:rsid w:val="00BD6C65"/>
    <w:rsid w:val="00BE3ED4"/>
    <w:rsid w:val="00C10686"/>
    <w:rsid w:val="00C2236F"/>
    <w:rsid w:val="00C551D9"/>
    <w:rsid w:val="00C810D8"/>
    <w:rsid w:val="00C96304"/>
    <w:rsid w:val="00CA504A"/>
    <w:rsid w:val="00CB5B7C"/>
    <w:rsid w:val="00D07134"/>
    <w:rsid w:val="00DD696E"/>
    <w:rsid w:val="00DE0360"/>
    <w:rsid w:val="00DE3E5F"/>
    <w:rsid w:val="00E04ECF"/>
    <w:rsid w:val="00E266C5"/>
    <w:rsid w:val="00E2702A"/>
    <w:rsid w:val="00F24AB1"/>
    <w:rsid w:val="00F53798"/>
    <w:rsid w:val="00F54482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6A2527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27</cp:revision>
  <dcterms:created xsi:type="dcterms:W3CDTF">2023-04-14T08:47:00Z</dcterms:created>
  <dcterms:modified xsi:type="dcterms:W3CDTF">2025-05-07T10:43:00Z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