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Default="00CC328A"/>
    <w:p w:rsidR="00CB6968" w:rsidRDefault="00CB6968"/>
    <w:p w:rsidR="00CB6968" w:rsidRDefault="00CB6968" w:rsidP="00CB6968">
      <w:pPr>
        <w:jc w:val="center"/>
      </w:pPr>
      <w:r>
        <w:t>Opis przedmiotu szacowania</w:t>
      </w:r>
    </w:p>
    <w:p w:rsidR="00CB6968" w:rsidRDefault="00CB6968" w:rsidP="00CB6968">
      <w:pPr>
        <w:jc w:val="center"/>
      </w:pPr>
    </w:p>
    <w:p w:rsidR="00CB6968" w:rsidRDefault="00CB6968" w:rsidP="00CB6968">
      <w:r>
        <w:t xml:space="preserve">Modernizacja rezonansu </w:t>
      </w:r>
      <w:r w:rsidR="004002CE">
        <w:t xml:space="preserve">magnetycznego </w:t>
      </w:r>
      <w:bookmarkStart w:id="0" w:name="_GoBack"/>
      <w:bookmarkEnd w:id="0"/>
      <w:r>
        <w:t xml:space="preserve">Magnetom </w:t>
      </w:r>
      <w:proofErr w:type="spellStart"/>
      <w:r>
        <w:t>Avanto</w:t>
      </w:r>
      <w:proofErr w:type="spellEnd"/>
      <w:r>
        <w:t xml:space="preserve"> polegająca na niemal całkowitej wymianie eksploatowanego aparatu na nowy model, z pozostawieniem</w:t>
      </w:r>
      <w:r w:rsidR="0078692F">
        <w:t xml:space="preserve"> istniejącego 1,5 </w:t>
      </w:r>
      <w:proofErr w:type="spellStart"/>
      <w:r w:rsidR="0078692F">
        <w:t>teslowego</w:t>
      </w:r>
      <w:proofErr w:type="spellEnd"/>
      <w:r w:rsidR="0078692F">
        <w:t xml:space="preserve"> magnesu o średnicy 60 cm. </w:t>
      </w:r>
    </w:p>
    <w:p w:rsidR="00453A58" w:rsidRDefault="00453A58" w:rsidP="00CB69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694"/>
        <w:gridCol w:w="1765"/>
        <w:gridCol w:w="2607"/>
      </w:tblGrid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pPr>
              <w:rPr>
                <w:b/>
                <w:i/>
              </w:rPr>
            </w:pPr>
            <w:r w:rsidRPr="00453A58">
              <w:rPr>
                <w:b/>
              </w:rPr>
              <w:t>1. PARAMETRY OGÓLNE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1.1.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Modernizacja pracowni rezonansu magnetycznego wyposażonej w model </w:t>
            </w:r>
            <w:proofErr w:type="spellStart"/>
            <w:r w:rsidRPr="00453A58">
              <w:t>Avanto</w:t>
            </w:r>
            <w:proofErr w:type="spellEnd"/>
            <w:r w:rsidRPr="00453A58">
              <w:t xml:space="preserve"> 1.5T, numer seryjny 27686, zainstalowanego w NIO Oddział w Krakowie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1.2.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rezonansu magnetycznego z pozostawieniem istniejącego magnesu aparatu (szczegóły w sekcji 2)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1.3.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rezonansu magnetycznego z pozostawieniem istniejącego systemu gradientowego (szczegóły w sekcji 3)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1.4.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systemu RF rezonansu magnetycznego do technologii obejmującej obsługę cewek biometrycznych (szczegóły w sekcji 4)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1.5.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rezonansu magnetycznego w zakresie cewek obrazujących (szczegóły w sekcji 5)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1.6.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58" w:rsidRPr="00453A58" w:rsidRDefault="00453A58" w:rsidP="00453A58">
            <w:r w:rsidRPr="00453A58">
              <w:t>Modernizacja pracowni rezonansu magnetycznego w zakresie wymiany stołu pacjenta na w pełni odłączany (szczegóły w sekcji 6)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1.7.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rezonansu magnetycznego w zakresie aktualizacji aplikacji klinicznych (szczegóły w sekcji 7)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1.8.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rezonansu magnetycznego w zakresie aktualizacji sekwencji obrazujących (szczegóły w sekcji 8)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1.9.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rezonansu magnetycznego o zaktualizowane parametry obrazowania (szczegóły w sekcji 9)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lastRenderedPageBreak/>
              <w:t>1.10.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Modernizacja pracowni rezonansu magnetycznego w zakresie wymiany konsoli operatorskiej na nową (szczegóły w sekcji 10)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2. MAGNES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2.1.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Indukcja pola magnetycznego B0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= 1,5 T;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2.2.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Wymiar pola rozproszonego 5 Gauss (0,5 </w:t>
            </w:r>
            <w:proofErr w:type="spellStart"/>
            <w:r w:rsidRPr="00453A58">
              <w:t>mT</w:t>
            </w:r>
            <w:proofErr w:type="spellEnd"/>
            <w:r w:rsidRPr="00453A58">
              <w:t>) w płaszczyźnie x/y, po modernizacji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≤ 2,5 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2.3.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Wymiar pola rozproszonego 5 Gauss (0,5 </w:t>
            </w:r>
            <w:proofErr w:type="spellStart"/>
            <w:r w:rsidRPr="00453A58">
              <w:t>mT</w:t>
            </w:r>
            <w:proofErr w:type="spellEnd"/>
            <w:r w:rsidRPr="00453A58">
              <w:t>) w osi z, po modernizacji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≤ 4,0 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3. SYSTEM GRADIENTOWY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3.1.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Maksymalna amplituda gradientów w osi Z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≥ 45 </w:t>
            </w:r>
            <w:proofErr w:type="spellStart"/>
            <w:r w:rsidRPr="00453A58">
              <w:t>mT</w:t>
            </w:r>
            <w:proofErr w:type="spellEnd"/>
            <w:r w:rsidRPr="00453A58">
              <w:t>/m;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3.2.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Maksymalna amplituda gradientów w osiach X i 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≥ 40 </w:t>
            </w:r>
            <w:proofErr w:type="spellStart"/>
            <w:r w:rsidRPr="00453A58">
              <w:t>mT</w:t>
            </w:r>
            <w:proofErr w:type="spellEnd"/>
            <w:r w:rsidRPr="00453A58">
              <w:t>/m;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3.3.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Maksymalna szybkość narastania gradientów (</w:t>
            </w:r>
            <w:proofErr w:type="spellStart"/>
            <w:r w:rsidRPr="00453A58">
              <w:t>slew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rate</w:t>
            </w:r>
            <w:proofErr w:type="spellEnd"/>
            <w:r w:rsidRPr="00453A58">
              <w:t>) w każdej osi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200 T/m/s;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4. SYSTEM RF</w:t>
            </w:r>
          </w:p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4.1.</w:t>
            </w:r>
          </w:p>
        </w:tc>
        <w:tc>
          <w:tcPr>
            <w:tcW w:w="8066" w:type="dxa"/>
            <w:gridSpan w:val="3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Tor nadawczy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4.1.1.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Tor nadawczy sygnału MR pomiędzy maszynownią a pomieszczeniem badań zbudowany w optycznej technologii cyfrowej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4.2.</w:t>
            </w:r>
          </w:p>
        </w:tc>
        <w:tc>
          <w:tcPr>
            <w:tcW w:w="8066" w:type="dxa"/>
            <w:gridSpan w:val="3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Tor odbiorczy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4.2.1.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Cs/>
              </w:rPr>
              <w:t>Technologia obsługująca cewki biometryczne, dostrajające się do różnic anatomicznych oraz posiadające wbudowane czujniki funkcji życiowych pacjenta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4.2.2.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Cs/>
              </w:rPr>
              <w:t>Maksymalna liczba kanałów – łączna liczba elementów obrazujących cewek odbiorczych podłączonych jednocześnie do aparatu i znajdujących się w maksymalnym zakresie skanowania, z przesuwem stołu pacjenta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204;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4.2.3.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Liczba rzeczywistych równoległych cyfrowych kanałów odbiorczych z pełną ścieżką cyfrową wykorzystywanych jednocześnie w statycznym </w:t>
            </w:r>
            <w:proofErr w:type="spellStart"/>
            <w:r w:rsidRPr="00453A58">
              <w:t>FoV</w:t>
            </w:r>
            <w:proofErr w:type="spellEnd"/>
            <w:r w:rsidRPr="00453A58">
              <w:t>, be</w:t>
            </w:r>
            <w:r w:rsidRPr="00453A58">
              <w:rPr>
                <w:bCs/>
              </w:rPr>
              <w:t>z przesuwu stołu pacjenta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48;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lastRenderedPageBreak/>
              <w:t>4.2.4.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Tor odbiorczy sygnału MR pomiędzy pomieszczeniem badań a maszynownią zbudowany w optycznej technologii cyfrowej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5. CEWKI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Cewka nadawczo-odbiorcza ogólnego przeznaczenia zabudowana w tunelu pacjenta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 typu matrycowego przeznaczona do badań </w:t>
            </w:r>
            <w:r w:rsidRPr="00453A58">
              <w:rPr>
                <w:b/>
              </w:rPr>
              <w:t>głowy i szyi</w:t>
            </w:r>
            <w:r w:rsidRPr="00453A58">
              <w:t xml:space="preserve"> posiadająca w badanym obszarze min. 20 elementów obrazujących jednocześnie i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 typu matrycowego do badań </w:t>
            </w:r>
            <w:r w:rsidRPr="00453A58">
              <w:rPr>
                <w:b/>
              </w:rPr>
              <w:t>całego kręgosłupa</w:t>
            </w:r>
            <w:r w:rsidRPr="00453A58">
              <w:t xml:space="preserve">, z automatycznym przesuwem stołu pacjenta sterowanym z protokołu badania, bez repozycjonowania pacjenta i przekładania lub przełączania cewek, posiadająca min. 32 elementy obrazujące i pozwalająca na akwizycje równoległe typu </w:t>
            </w:r>
            <w:proofErr w:type="spellStart"/>
            <w:r w:rsidRPr="00453A58">
              <w:t>iPAT</w:t>
            </w:r>
            <w:proofErr w:type="spellEnd"/>
            <w:r w:rsidRPr="00453A58">
              <w:t xml:space="preserve"> z wbudowanymi czujnikami oddechowymi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 typu matrycowego lub zestaw cewek przeznaczona do badań </w:t>
            </w:r>
            <w:r w:rsidRPr="00453A58">
              <w:rPr>
                <w:b/>
              </w:rPr>
              <w:t>całego centralnego układu nerwowego</w:t>
            </w:r>
            <w:r w:rsidRPr="00453A58">
              <w:t xml:space="preserve"> (głowa i cały kręgosłup) z przesuwem stołu pacjenta sterowanym automatycznie z protokołu badania, bez repozycjonowania pacjenta i przekładania lub przełączania cewek, posiadająca min. 50 elementów obrazujących i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Zestaw min. 2 elastycznych (kocykowych) cewek prostokątnych o różnych długościach przewodu przyłączeniowego (jedna z przedłużonym kablem) do badań </w:t>
            </w:r>
            <w:r w:rsidRPr="00453A58">
              <w:rPr>
                <w:b/>
              </w:rPr>
              <w:t>całego tułowia</w:t>
            </w:r>
            <w:r w:rsidRPr="00453A58">
              <w:t xml:space="preserve"> (klatka piersiowa, </w:t>
            </w:r>
            <w:r w:rsidRPr="00453A58">
              <w:lastRenderedPageBreak/>
              <w:t xml:space="preserve">jama brzuszna i miednica), każda posiadająca w badanym obszarze min. 18 elementów obrazujących i pozwalająca na akwizycje równoległe typu </w:t>
            </w:r>
            <w:proofErr w:type="spellStart"/>
            <w:r w:rsidRPr="00453A58">
              <w:t>iPAT</w:t>
            </w:r>
            <w:proofErr w:type="spellEnd"/>
            <w:r w:rsidRPr="00453A58">
              <w:t>, każda z wbudowanym czujnikiem pulsu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 typu matrycowego przeznaczona do badań </w:t>
            </w:r>
            <w:r w:rsidRPr="00453A58">
              <w:rPr>
                <w:b/>
              </w:rPr>
              <w:t>mammograficznych</w:t>
            </w:r>
            <w:r w:rsidRPr="00453A58">
              <w:t xml:space="preserve"> posiadająca w badanym obszarze min. 18 elementów obrazujących jednocześnie i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24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 typu matrycowego przeznaczona do badań i biopsji </w:t>
            </w:r>
            <w:r w:rsidRPr="00453A58">
              <w:rPr>
                <w:b/>
              </w:rPr>
              <w:t>mammograficznych</w:t>
            </w:r>
            <w:r w:rsidRPr="00453A58">
              <w:t xml:space="preserve">, o konstrukcji otwartej umożliwiającej podejście igły biopsyjnej, posiadająca w badanym obszarze min. 4 elementy obrazujące jednocześnie i pozwalająca na akwizycje równoległe typu </w:t>
            </w:r>
            <w:proofErr w:type="spellStart"/>
            <w:r w:rsidRPr="00453A58">
              <w:t>iPAT</w:t>
            </w:r>
            <w:proofErr w:type="spellEnd"/>
          </w:p>
          <w:p w:rsidR="00453A58" w:rsidRPr="00453A58" w:rsidRDefault="00453A58" w:rsidP="00453A58">
            <w:r w:rsidRPr="00453A58">
              <w:t>Dopuszczalne jest pozostawienie cewki aktualnie wykorzystywanej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 sztywna, nadawczo-odbiorcza, przeznaczona do badań </w:t>
            </w:r>
            <w:r w:rsidRPr="00453A58">
              <w:rPr>
                <w:b/>
              </w:rPr>
              <w:t>stawu kolanowego</w:t>
            </w:r>
            <w:r w:rsidRPr="00453A58">
              <w:t xml:space="preserve">, posiadająca w badanym obszarze min. 18 elementów obrazujących jednocześnie i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wielokanałowa, sztywna lub sztywna z elastycznymi końcówkami, przeznaczona do badań </w:t>
            </w:r>
            <w:r w:rsidRPr="00453A58">
              <w:rPr>
                <w:b/>
              </w:rPr>
              <w:t>barku</w:t>
            </w:r>
            <w:r w:rsidRPr="00453A58">
              <w:t xml:space="preserve">, posiadająca w badanym obszarze min. 16 elementów obrazujących jednocześnie i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24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5.10.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Zestaw min. 2 elastycznych </w:t>
            </w:r>
            <w:r w:rsidRPr="00453A58">
              <w:rPr>
                <w:b/>
              </w:rPr>
              <w:t>uniwersalnych</w:t>
            </w:r>
            <w:r w:rsidRPr="00453A58">
              <w:t xml:space="preserve"> cewek prostokątnych o różnych rozmiarach, każda posiadająca w badanym obszarze min. 18 elementów obrazujących, każda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lastRenderedPageBreak/>
              <w:t>5.11.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Cewka dedykowana do badań angiograficznych </w:t>
            </w:r>
            <w:r w:rsidRPr="00453A58">
              <w:rPr>
                <w:b/>
              </w:rPr>
              <w:t>kończyn dolnych</w:t>
            </w:r>
            <w:r w:rsidRPr="00453A58">
              <w:t xml:space="preserve"> (</w:t>
            </w:r>
            <w:proofErr w:type="spellStart"/>
            <w:r w:rsidRPr="00453A58">
              <w:t>Peripheral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Angio</w:t>
            </w:r>
            <w:proofErr w:type="spellEnd"/>
            <w:r w:rsidRPr="00453A58">
              <w:t xml:space="preserve">) posiadająca min. 36 elementów obrazowych i pozwalająca na akwizycje równoległe typu </w:t>
            </w:r>
            <w:proofErr w:type="spellStart"/>
            <w:r w:rsidRPr="00453A58">
              <w:t>iPAT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6. POZYCJONOWANIE I NADZÓR PACJENTA</w:t>
            </w:r>
          </w:p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Stół pacjenta odłączany, w pełni automatyczny, mobilny wyposażony we własny napęd elektryczny. Zintegrowana bateria stołu ładowana automatycznie po zadokowaniu stołu w </w:t>
            </w:r>
            <w:proofErr w:type="spellStart"/>
            <w:r w:rsidRPr="00453A58">
              <w:t>gantry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Obciążenie płyty stołu, łącznie z ruchem pionowym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250 kg;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Zakres badania bez konieczności repozycjonowania pacjenta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200 cm;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Badanie dużych obszarów ciała w zakresie większym niż maksymalne statyczne </w:t>
            </w:r>
            <w:proofErr w:type="spellStart"/>
            <w:r w:rsidRPr="00453A58">
              <w:t>FoV</w:t>
            </w:r>
            <w:proofErr w:type="spellEnd"/>
            <w:r w:rsidRPr="00453A58">
              <w:t>, z krokowym przesuwem stołu pacjenta, inicjowanym automatycznie z protokołu badania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Badanie dużych obszarów ciała w zakresie większym niż maksymalne statyczne </w:t>
            </w:r>
            <w:proofErr w:type="spellStart"/>
            <w:r w:rsidRPr="00453A58">
              <w:t>FoV</w:t>
            </w:r>
            <w:proofErr w:type="spellEnd"/>
            <w:r w:rsidRPr="00453A58">
              <w:t>, z ciągłym (nie krokowym) przesuwem stołu pacjenta podczas akwizycji danych, inicjowanym automatycznie z protokołu badania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Średnica otworu </w:t>
            </w:r>
            <w:proofErr w:type="spellStart"/>
            <w:r w:rsidRPr="00453A58">
              <w:t>gantry</w:t>
            </w:r>
            <w:proofErr w:type="spellEnd"/>
            <w:r w:rsidRPr="00453A58">
              <w:t xml:space="preserve"> aparatu (magnes z systemem „</w:t>
            </w:r>
            <w:proofErr w:type="spellStart"/>
            <w:r w:rsidRPr="00453A58">
              <w:t>shim</w:t>
            </w:r>
            <w:proofErr w:type="spellEnd"/>
            <w:r w:rsidRPr="00453A58">
              <w:t>”, cewkami gradientowymi, zintegrowaną cewką nadawczo-odbiorczą ogólnego zastosowania i obudowami) w najwęższym miejscu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60 cm;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Regulowana wentylacja wnętrza tunelu </w:t>
            </w:r>
            <w:proofErr w:type="spellStart"/>
            <w:r w:rsidRPr="00453A58">
              <w:t>gantry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Oświetlenie wnętrza tunelu </w:t>
            </w:r>
            <w:proofErr w:type="spellStart"/>
            <w:r w:rsidRPr="00453A58">
              <w:t>gantry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Dwa identyczne funkcjonalnie panele sterujące umieszczone po obu stronach obudowy </w:t>
            </w:r>
            <w:proofErr w:type="spellStart"/>
            <w:r w:rsidRPr="00453A58">
              <w:t>gantry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Dwa identyczne funkcjonalnie wyświetlacze dotykowe umieszczone po obu stronach przedniej obudowy </w:t>
            </w:r>
            <w:proofErr w:type="spellStart"/>
            <w:r w:rsidRPr="00453A58">
              <w:t>gantry</w:t>
            </w:r>
            <w:proofErr w:type="spellEnd"/>
            <w:r w:rsidRPr="00453A58">
              <w:t xml:space="preserve"> i </w:t>
            </w:r>
            <w:r w:rsidRPr="00453A58">
              <w:lastRenderedPageBreak/>
              <w:t>zintegrowane z nią, umożliwiające sterowanie aparatem MR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Kamera TV do obserwacji pacjenta w tunelu </w:t>
            </w:r>
            <w:proofErr w:type="spellStart"/>
            <w:r w:rsidRPr="00453A58">
              <w:t>gantry</w:t>
            </w:r>
            <w:proofErr w:type="spellEnd"/>
            <w:r w:rsidRPr="00453A58">
              <w:t xml:space="preserve"> z monitorem w pomieszczeniu operatorskim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System biometryczny monitorujący oddech wbudowany w stół pacjenta lub cewkę do badania kręgosłupa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System monitorowania pacjenta (EKG, puls) - dla wypracowania systemów synchronizujących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Sygnalizacja dodatkowa (np. "gruszka", przycisk)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Słuchawki tłumiące hałas dla pacjenta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Dwukierunkowy interkom do komunikacji z pacjentem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Zestaw podgłówków i podkładek do pozycjonowania pacjentów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6.18.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Centrator</w:t>
            </w:r>
            <w:proofErr w:type="spellEnd"/>
            <w:r w:rsidRPr="00453A58">
              <w:t xml:space="preserve"> laserowy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7. APLIKACJE KLINICZNE</w:t>
            </w:r>
          </w:p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Badania neurologiczne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Badania morfologiczne obszaru głowy, kręgosłupa i rdzenia kręgowego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Automatyczne pozycjonowanie i ułożenie przekrojów skanu lokalizującego głowy na podstawie jej cech anatomicznych, funkcjonujące niezależnie od wieku pacjenta, ułożenia głowy, czy ewentualnych zmian patologicznych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– </w:t>
            </w:r>
            <w:proofErr w:type="spellStart"/>
            <w:r w:rsidRPr="00453A58">
              <w:t>myExam</w:t>
            </w:r>
            <w:proofErr w:type="spellEnd"/>
            <w:r w:rsidRPr="00453A58">
              <w:t xml:space="preserve"> Brain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 – </w:t>
            </w:r>
            <w:proofErr w:type="spellStart"/>
            <w:r w:rsidRPr="00453A58">
              <w:t>myExam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Spine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Obrazowanie dyfuzji (DWI)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DWI w oparciu o single-</w:t>
            </w:r>
            <w:proofErr w:type="spellStart"/>
            <w:r w:rsidRPr="00453A58">
              <w:t>shot</w:t>
            </w:r>
            <w:proofErr w:type="spellEnd"/>
            <w:r w:rsidRPr="00453A58">
              <w:t xml:space="preserve"> EPI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DWI z wysoką rozdzielczością non-single-</w:t>
            </w:r>
            <w:proofErr w:type="spellStart"/>
            <w:r w:rsidRPr="00453A58">
              <w:t>shot</w:t>
            </w:r>
            <w:proofErr w:type="spellEnd"/>
            <w:r w:rsidRPr="00453A58">
              <w:t>, np. sekwencjami typu PSIF-</w:t>
            </w:r>
            <w:proofErr w:type="spellStart"/>
            <w:r w:rsidRPr="00453A58">
              <w:t>Diffusion</w:t>
            </w:r>
            <w:proofErr w:type="spellEnd"/>
            <w:r w:rsidRPr="00453A58">
              <w:t>,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Maksymalna wartość współczynnika b w DWI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10 000 s/mm</w:t>
            </w:r>
            <w:r w:rsidRPr="00453A58">
              <w:rPr>
                <w:vertAlign w:val="superscript"/>
              </w:rPr>
              <w:t>2</w:t>
            </w:r>
            <w:r w:rsidRPr="00453A58">
              <w:t>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Automatyczne generowanie map ADC (</w:t>
            </w:r>
            <w:proofErr w:type="spellStart"/>
            <w:r w:rsidRPr="00453A58">
              <w:t>Apparent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Diffusion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Coefficient</w:t>
            </w:r>
            <w:proofErr w:type="spellEnd"/>
            <w:r w:rsidRPr="00453A58">
              <w:t xml:space="preserve">) na konsoli podstawowej przy badaniach DWI – </w:t>
            </w:r>
            <w:proofErr w:type="spellStart"/>
            <w:r w:rsidRPr="00453A58">
              <w:t>Inline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Diffusion</w:t>
            </w:r>
            <w:proofErr w:type="spellEnd"/>
            <w:r w:rsidRPr="00453A58">
              <w:t xml:space="preserve"> lub odpowiednik zgodnie z nomenklaturą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redukcji artefaktów podatności, na styku tkanki miękkiej i powietrza </w:t>
            </w:r>
            <w:r w:rsidRPr="00453A58">
              <w:br/>
              <w:t>w badaniach DWI – RESOLVE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DWI w oparciu o EPI w ograniczonym i powiększonym </w:t>
            </w:r>
            <w:proofErr w:type="spellStart"/>
            <w:r w:rsidRPr="00453A58">
              <w:t>FoV</w:t>
            </w:r>
            <w:proofErr w:type="spellEnd"/>
            <w:r w:rsidRPr="00453A58">
              <w:t xml:space="preserve">, możliwe dzięki technologii selektywnego pobudzania fragmentu obrazowanej warstwy lub objętości – </w:t>
            </w:r>
            <w:proofErr w:type="spellStart"/>
            <w:r w:rsidRPr="00453A58">
              <w:t>ZOOMit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7.2.7.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służąca do drastycznej redukcji czasu akwizycji oraz zwiększenia rozdzielczości przestrzennej i dyfuzyjnej w badaniach DWI polegająca na pobudzeniu i odczycie wielu warstw jednocześnie bez utraty SNR wynikającego z </w:t>
            </w:r>
            <w:proofErr w:type="spellStart"/>
            <w:r w:rsidRPr="00453A58">
              <w:t>podpróbkowania</w:t>
            </w:r>
            <w:proofErr w:type="spellEnd"/>
            <w:r w:rsidRPr="00453A58">
              <w:t xml:space="preserve">, działająca w oparciu o wielopasmowy impuls pobudzający połączony z zaawansowaną ultraszybką akwizycją równoległą – </w:t>
            </w:r>
            <w:proofErr w:type="spellStart"/>
            <w:r w:rsidRPr="00453A58">
              <w:t>Simultaneous</w:t>
            </w:r>
            <w:proofErr w:type="spellEnd"/>
            <w:r w:rsidRPr="00453A58">
              <w:t xml:space="preserve"> Multi-</w:t>
            </w:r>
            <w:proofErr w:type="spellStart"/>
            <w:r w:rsidRPr="00453A58">
              <w:t>Slice</w:t>
            </w:r>
            <w:proofErr w:type="spellEnd"/>
            <w:r w:rsidRPr="00453A58">
              <w:t>, SMS-DWI lub zgodnie z nomenklaturą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7.3.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Obrazowanie tensora dyfuzji (DTI)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7.3.1.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DTI w oparciu o Single </w:t>
            </w:r>
            <w:proofErr w:type="spellStart"/>
            <w:r w:rsidRPr="00453A58">
              <w:t>Shot</w:t>
            </w:r>
            <w:proofErr w:type="spellEnd"/>
            <w:r w:rsidRPr="00453A58">
              <w:t xml:space="preserve"> EPI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7.3.2.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Pomiary dyfuzji kierunkowej z różnymi wartościami współczynnika b w DTI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7.3.3.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Maksymalna liczba kierunków ≥ 256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7.3.4.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służąca do drastycznej redukcji czasu akwizycji oraz zwiększenia rozdzielczości przestrzennej i czasowej w badaniach DTI polegająca na pobudzeniu i odczycie wielu warstw jednocześnie bez utraty SNR wynikającego z </w:t>
            </w:r>
            <w:proofErr w:type="spellStart"/>
            <w:r w:rsidRPr="00453A58">
              <w:t>podpróbkowania</w:t>
            </w:r>
            <w:proofErr w:type="spellEnd"/>
            <w:r w:rsidRPr="00453A58">
              <w:t xml:space="preserve">, działająca w oparciu o wielopasmowy impuls pobudzający połączony z zaawansowaną ultraszybką akwizycją równoległą – </w:t>
            </w:r>
            <w:proofErr w:type="spellStart"/>
            <w:r w:rsidRPr="00453A58">
              <w:t>Simultaneous</w:t>
            </w:r>
            <w:proofErr w:type="spellEnd"/>
            <w:r w:rsidRPr="00453A58">
              <w:t xml:space="preserve"> Multi-</w:t>
            </w:r>
            <w:proofErr w:type="spellStart"/>
            <w:r w:rsidRPr="00453A58">
              <w:t>Slice</w:t>
            </w:r>
            <w:proofErr w:type="spellEnd"/>
            <w:r w:rsidRPr="00453A58">
              <w:t>, SMS-DTI lub zgodnie z nomenklaturą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7.3.5.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Obrazowanie spektralne dyfuzji (DSI) charakteryzujące się większą rozdzielczością i dokładnością, w tym analizą włókien przecinających się w ramach pojedynczego </w:t>
            </w:r>
            <w:proofErr w:type="spellStart"/>
            <w:r w:rsidRPr="00453A58">
              <w:t>voxela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Badania funkcjonalne (</w:t>
            </w:r>
            <w:proofErr w:type="spellStart"/>
            <w:r w:rsidRPr="00453A58">
              <w:rPr>
                <w:b/>
              </w:rPr>
              <w:t>fMRI</w:t>
            </w:r>
            <w:proofErr w:type="spellEnd"/>
            <w:r w:rsidRPr="00453A58">
              <w:rPr>
                <w:b/>
              </w:rPr>
              <w:t>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Badania funkcjonalne mózgu (</w:t>
            </w:r>
            <w:proofErr w:type="spellStart"/>
            <w:r w:rsidRPr="00453A58">
              <w:t>fMRI</w:t>
            </w:r>
            <w:proofErr w:type="spellEnd"/>
            <w:r w:rsidRPr="00453A58">
              <w:t>) w oparciu o techniki BOLD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Nawigator retrospektywny dla badań </w:t>
            </w:r>
            <w:proofErr w:type="spellStart"/>
            <w:r w:rsidRPr="00453A58">
              <w:t>fMRI</w:t>
            </w:r>
            <w:proofErr w:type="spellEnd"/>
            <w:r w:rsidRPr="00453A58">
              <w:t xml:space="preserve"> mózgu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Nawigator prospektywny dla badań </w:t>
            </w:r>
            <w:proofErr w:type="spellStart"/>
            <w:r w:rsidRPr="00453A58">
              <w:t>fMRI</w:t>
            </w:r>
            <w:proofErr w:type="spellEnd"/>
            <w:r w:rsidRPr="00453A58">
              <w:t xml:space="preserve"> mózgu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Tworzenie map aktywacji (t-test) w czasie rzeczywistym – </w:t>
            </w:r>
            <w:proofErr w:type="spellStart"/>
            <w:r w:rsidRPr="00453A58">
              <w:t>Inline</w:t>
            </w:r>
            <w:proofErr w:type="spellEnd"/>
            <w:r w:rsidRPr="00453A58">
              <w:t xml:space="preserve"> BOLD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Wyzwalanie sekwencji obrazujących z zewnętrznego urządzenia (</w:t>
            </w:r>
            <w:proofErr w:type="spellStart"/>
            <w:r w:rsidRPr="00453A58">
              <w:t>trigger</w:t>
            </w:r>
            <w:proofErr w:type="spellEnd"/>
            <w:r w:rsidRPr="00453A58">
              <w:t xml:space="preserve"> in)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Wysyłanie przez skaner sygnału synchronizacji do zewnętrznego urządzenia (</w:t>
            </w:r>
            <w:proofErr w:type="spellStart"/>
            <w:r w:rsidRPr="00453A58">
              <w:t>trigger</w:t>
            </w:r>
            <w:proofErr w:type="spellEnd"/>
            <w:r w:rsidRPr="00453A58">
              <w:t xml:space="preserve"> out)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Budowanie własnych paradygmatów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7.4.8.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służąca do drastycznej redukcji czasu akwizycji oraz zwiększenia rozdzielczości przestrzennej i czasowej w badaniach BOLD </w:t>
            </w:r>
            <w:proofErr w:type="spellStart"/>
            <w:r w:rsidRPr="00453A58">
              <w:t>fMRI</w:t>
            </w:r>
            <w:proofErr w:type="spellEnd"/>
            <w:r w:rsidRPr="00453A58">
              <w:t xml:space="preserve"> polegająca na pobudzeniu i odczycie wielu warstw jednocześnie bez utraty SNR wynikającego z </w:t>
            </w:r>
            <w:proofErr w:type="spellStart"/>
            <w:r w:rsidRPr="00453A58">
              <w:t>podpróbkowania</w:t>
            </w:r>
            <w:proofErr w:type="spellEnd"/>
            <w:r w:rsidRPr="00453A58">
              <w:t xml:space="preserve">, działająca w oparciu o wielopasmowy impuls pobudzający połączony z zaawansowaną ultraszybką akwizycją równoległą – </w:t>
            </w:r>
            <w:proofErr w:type="spellStart"/>
            <w:r w:rsidRPr="00453A58">
              <w:t>Simultaneous</w:t>
            </w:r>
            <w:proofErr w:type="spellEnd"/>
            <w:r w:rsidRPr="00453A58">
              <w:t xml:space="preserve"> Multi-</w:t>
            </w:r>
            <w:proofErr w:type="spellStart"/>
            <w:r w:rsidRPr="00453A58">
              <w:t>Slice</w:t>
            </w:r>
            <w:proofErr w:type="spellEnd"/>
            <w:r w:rsidRPr="00453A58">
              <w:t>, SMS-BOLD lub zgodnie z nomenklaturą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7.5.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Obrazowanie perfuzji (PWI)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7.5.1.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PWI w oparciu o single-</w:t>
            </w:r>
            <w:proofErr w:type="spellStart"/>
            <w:r w:rsidRPr="00453A58">
              <w:t>shot</w:t>
            </w:r>
            <w:proofErr w:type="spellEnd"/>
            <w:r w:rsidRPr="00453A58">
              <w:t xml:space="preserve"> EPI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7.5.2.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Automatyczne generowanie map MTT, CBV i CBF na konsoli podstawowej przy badaniach PWI – </w:t>
            </w:r>
            <w:proofErr w:type="spellStart"/>
            <w:r w:rsidRPr="00453A58">
              <w:t>Inline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Perfusion</w:t>
            </w:r>
            <w:proofErr w:type="spellEnd"/>
            <w:r w:rsidRPr="00453A58">
              <w:t xml:space="preserve"> lub odpowiednik zgodnie z nomenklaturą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7.5.3.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Bezkontrastowa</w:t>
            </w:r>
            <w:proofErr w:type="spellEnd"/>
            <w:r w:rsidRPr="00453A58">
              <w:t xml:space="preserve"> perfuzja mózgu typu ASL (</w:t>
            </w:r>
            <w:proofErr w:type="spellStart"/>
            <w:r w:rsidRPr="00453A58">
              <w:t>Arterial</w:t>
            </w:r>
            <w:proofErr w:type="spellEnd"/>
            <w:r w:rsidRPr="00453A58">
              <w:t xml:space="preserve"> Spin </w:t>
            </w:r>
            <w:proofErr w:type="spellStart"/>
            <w:r w:rsidRPr="00453A58">
              <w:t>Labeling</w:t>
            </w:r>
            <w:proofErr w:type="spellEnd"/>
            <w:r w:rsidRPr="00453A58">
              <w:t xml:space="preserve">) wykorzystująca co najmniej technikę </w:t>
            </w:r>
            <w:proofErr w:type="spellStart"/>
            <w:r w:rsidRPr="00453A58">
              <w:t>pCASL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7.6.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Obrazowanie podatności magnetycznej (SWI)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7.6.1.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Obrazowanie ważone podatnością magnetyczną tkanki – </w:t>
            </w:r>
            <w:proofErr w:type="spellStart"/>
            <w:r w:rsidRPr="00453A58">
              <w:t>Susceptibility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Weighted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Imaging</w:t>
            </w:r>
            <w:proofErr w:type="spellEnd"/>
            <w:r w:rsidRPr="00453A58">
              <w:t>, SWI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7.7.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b/>
              </w:rPr>
            </w:pPr>
            <w:r w:rsidRPr="00453A58">
              <w:rPr>
                <w:b/>
              </w:rPr>
              <w:t>Spektroskopia protonowa (</w:t>
            </w:r>
            <w:r w:rsidRPr="00453A58">
              <w:rPr>
                <w:b/>
                <w:vertAlign w:val="superscript"/>
              </w:rPr>
              <w:t>1</w:t>
            </w:r>
            <w:r w:rsidRPr="00453A58">
              <w:rPr>
                <w:b/>
              </w:rPr>
              <w:t>H MRS)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7.7.1.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vertAlign w:val="superscript"/>
              </w:rPr>
              <w:t>1</w:t>
            </w:r>
            <w:r w:rsidRPr="00453A58">
              <w:t xml:space="preserve">H MRS typu Single </w:t>
            </w:r>
            <w:proofErr w:type="spellStart"/>
            <w:r w:rsidRPr="00453A58">
              <w:t>Voxel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Spectroscopy</w:t>
            </w:r>
            <w:proofErr w:type="spellEnd"/>
            <w:r w:rsidRPr="00453A58">
              <w:t xml:space="preserve"> (</w:t>
            </w:r>
            <w:r w:rsidRPr="00453A58">
              <w:rPr>
                <w:vertAlign w:val="superscript"/>
              </w:rPr>
              <w:t>1</w:t>
            </w:r>
            <w:r w:rsidRPr="00453A58">
              <w:t>H SVS MRS) z zastosowaniem techniki STEAM i PRESS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7.7.2.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  <w:r w:rsidRPr="00453A58">
              <w:rPr>
                <w:vertAlign w:val="superscript"/>
                <w:lang w:val="en-US"/>
              </w:rPr>
              <w:t>1</w:t>
            </w:r>
            <w:r w:rsidRPr="00453A58">
              <w:rPr>
                <w:lang w:val="en-US"/>
              </w:rPr>
              <w:t xml:space="preserve">H MRS </w:t>
            </w:r>
            <w:proofErr w:type="spellStart"/>
            <w:r w:rsidRPr="00453A58">
              <w:rPr>
                <w:lang w:val="en-US"/>
              </w:rPr>
              <w:t>typu</w:t>
            </w:r>
            <w:proofErr w:type="spellEnd"/>
            <w:r w:rsidRPr="00453A58">
              <w:rPr>
                <w:lang w:val="en-US"/>
              </w:rPr>
              <w:t xml:space="preserve"> 2D Chemical Shift Imaging (</w:t>
            </w:r>
            <w:r w:rsidRPr="00453A58">
              <w:rPr>
                <w:vertAlign w:val="superscript"/>
                <w:lang w:val="en-US"/>
              </w:rPr>
              <w:t>1</w:t>
            </w:r>
            <w:r w:rsidRPr="00453A58">
              <w:rPr>
                <w:lang w:val="en-US"/>
              </w:rPr>
              <w:t>H 2DCSI MRS)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7.7.3.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  <w:r w:rsidRPr="00453A58">
              <w:rPr>
                <w:vertAlign w:val="superscript"/>
                <w:lang w:val="en-US"/>
              </w:rPr>
              <w:t>1</w:t>
            </w:r>
            <w:r w:rsidRPr="00453A58">
              <w:rPr>
                <w:lang w:val="en-US"/>
              </w:rPr>
              <w:t xml:space="preserve">H MRS </w:t>
            </w:r>
            <w:proofErr w:type="spellStart"/>
            <w:r w:rsidRPr="00453A58">
              <w:rPr>
                <w:lang w:val="en-US"/>
              </w:rPr>
              <w:t>typu</w:t>
            </w:r>
            <w:proofErr w:type="spellEnd"/>
            <w:r w:rsidRPr="00453A58">
              <w:rPr>
                <w:lang w:val="en-US"/>
              </w:rPr>
              <w:t xml:space="preserve"> 3D Chemical Shift Imaging (</w:t>
            </w:r>
            <w:r w:rsidRPr="00453A58">
              <w:rPr>
                <w:vertAlign w:val="superscript"/>
                <w:lang w:val="en-US"/>
              </w:rPr>
              <w:t>1</w:t>
            </w:r>
            <w:r w:rsidRPr="00453A58">
              <w:rPr>
                <w:lang w:val="en-US"/>
              </w:rPr>
              <w:t>H 3DCSI MRS)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b/>
              </w:rPr>
            </w:pPr>
            <w:r w:rsidRPr="00453A58">
              <w:rPr>
                <w:b/>
              </w:rPr>
              <w:t>Angiografia (MRA)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rPr>
                <w:lang w:val="en-US"/>
              </w:rPr>
              <w:t>Bezkontrastowa</w:t>
            </w:r>
            <w:proofErr w:type="spellEnd"/>
            <w:r w:rsidRPr="00453A58">
              <w:rPr>
                <w:lang w:val="en-US"/>
              </w:rPr>
              <w:t xml:space="preserve"> MRA </w:t>
            </w:r>
            <w:proofErr w:type="spellStart"/>
            <w:r w:rsidRPr="00453A58">
              <w:rPr>
                <w:lang w:val="en-US"/>
              </w:rPr>
              <w:t>techniką</w:t>
            </w:r>
            <w:proofErr w:type="spellEnd"/>
            <w:r w:rsidRPr="00453A58">
              <w:rPr>
                <w:lang w:val="en-US"/>
              </w:rPr>
              <w:t xml:space="preserve"> Time-of-Flight MRA (</w:t>
            </w:r>
            <w:proofErr w:type="spellStart"/>
            <w:r w:rsidRPr="00453A58">
              <w:rPr>
                <w:lang w:val="en-US"/>
              </w:rPr>
              <w:t>ToF</w:t>
            </w:r>
            <w:proofErr w:type="spellEnd"/>
            <w:r w:rsidRPr="00453A58">
              <w:rPr>
                <w:lang w:val="en-US"/>
              </w:rPr>
              <w:t xml:space="preserve">) 2D </w:t>
            </w:r>
            <w:proofErr w:type="spellStart"/>
            <w:r w:rsidRPr="00453A58">
              <w:rPr>
                <w:lang w:val="en-US"/>
              </w:rPr>
              <w:t>i</w:t>
            </w:r>
            <w:proofErr w:type="spellEnd"/>
            <w:r w:rsidRPr="00453A58">
              <w:rPr>
                <w:lang w:val="en-US"/>
              </w:rPr>
              <w:t xml:space="preserve"> 3D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Bezkontrastowa</w:t>
            </w:r>
            <w:proofErr w:type="spellEnd"/>
            <w:r w:rsidRPr="00453A58">
              <w:t xml:space="preserve"> MRA techniką Time-of-Flight MRA realizowana przez mechanizm ultraszybkiego próbkowania macierzy rzadkich – </w:t>
            </w:r>
            <w:proofErr w:type="spellStart"/>
            <w:r w:rsidRPr="00453A58">
              <w:t>Compressed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Sensing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ToF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Bezkontrastowa</w:t>
            </w:r>
            <w:proofErr w:type="spellEnd"/>
            <w:r w:rsidRPr="00453A58">
              <w:t xml:space="preserve"> MRA techniką </w:t>
            </w:r>
            <w:proofErr w:type="spellStart"/>
            <w:r w:rsidRPr="00453A58">
              <w:t>Phase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Contrast</w:t>
            </w:r>
            <w:proofErr w:type="spellEnd"/>
            <w:r w:rsidRPr="00453A58">
              <w:t xml:space="preserve"> MRA (PC) 2D i 3D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Bezkontrastowa</w:t>
            </w:r>
            <w:proofErr w:type="spellEnd"/>
            <w:r w:rsidRPr="00453A58">
              <w:t xml:space="preserve"> MRA techniką innego typu niż </w:t>
            </w:r>
            <w:proofErr w:type="spellStart"/>
            <w:r w:rsidRPr="00453A58">
              <w:t>ToF</w:t>
            </w:r>
            <w:proofErr w:type="spellEnd"/>
            <w:r w:rsidRPr="00453A58">
              <w:t xml:space="preserve"> i PC, przeznaczona do obrazowania tętniczych i żylnych naczyń abdominalnych – NATIVE SPACE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Bezkontrastowa</w:t>
            </w:r>
            <w:proofErr w:type="spellEnd"/>
            <w:r w:rsidRPr="00453A58">
              <w:t xml:space="preserve"> MRA techniką innego typu niż </w:t>
            </w:r>
            <w:proofErr w:type="spellStart"/>
            <w:r w:rsidRPr="00453A58">
              <w:t>ToF</w:t>
            </w:r>
            <w:proofErr w:type="spellEnd"/>
            <w:r w:rsidRPr="00453A58">
              <w:t xml:space="preserve"> i PC, przeznaczona do obrazowania tętniczych i żylnych naczyń peryferyjnych z wysoką rozdzielczością przestrzenną – NATIVE </w:t>
            </w:r>
            <w:proofErr w:type="spellStart"/>
            <w:r w:rsidRPr="00453A58">
              <w:t>TrueFISP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Bezkontrastowa</w:t>
            </w:r>
            <w:proofErr w:type="spellEnd"/>
            <w:r w:rsidRPr="00453A58">
              <w:t xml:space="preserve"> MRA techniką innego typu niż </w:t>
            </w:r>
            <w:proofErr w:type="spellStart"/>
            <w:r w:rsidRPr="00453A58">
              <w:t>ToF</w:t>
            </w:r>
            <w:proofErr w:type="spellEnd"/>
            <w:r w:rsidRPr="00453A58">
              <w:t xml:space="preserve"> i PC, przeznaczona do obrazowania naczyń obwodowych – QISS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Kontrastowe MRA (</w:t>
            </w:r>
            <w:proofErr w:type="spellStart"/>
            <w:r w:rsidRPr="00453A58">
              <w:t>ceMRA</w:t>
            </w:r>
            <w:proofErr w:type="spellEnd"/>
            <w:r w:rsidRPr="00453A58">
              <w:t>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Dynamiczne </w:t>
            </w:r>
            <w:proofErr w:type="spellStart"/>
            <w:r w:rsidRPr="00453A58">
              <w:t>ceMRA</w:t>
            </w:r>
            <w:proofErr w:type="spellEnd"/>
            <w:r w:rsidRPr="00453A58">
              <w:t xml:space="preserve"> 3D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Dynamiczne </w:t>
            </w:r>
            <w:proofErr w:type="spellStart"/>
            <w:r w:rsidRPr="00453A58">
              <w:t>ceMRA</w:t>
            </w:r>
            <w:proofErr w:type="spellEnd"/>
            <w:r w:rsidRPr="00453A58">
              <w:t xml:space="preserve"> 4D (3D dynamiczne w czasie) przeznaczona do obrazowania obszarów takich jak tętnice szyjne, naczynia płucne i naczynia obwodowe, z wysoką rozdzielczością przestrzenną i czasową pozwalając na wizualizację dynamiki napływu i odpływu środka kontrastowego z obszaru zainteresowania – TWIST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7.8.10.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Automatyczne śledzenie napływu środka kontrastowego – </w:t>
            </w:r>
            <w:proofErr w:type="spellStart"/>
            <w:r w:rsidRPr="00453A58">
              <w:t>Care</w:t>
            </w:r>
            <w:proofErr w:type="spellEnd"/>
            <w:r w:rsidRPr="00453A58">
              <w:t xml:space="preserve"> Bolus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Badania w obszarze abdominalnym i badania całego ciała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Pakiet do dynamicznych badań wątroby – VIBE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Cholangiografia MR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Obrazowanie dyfuzyjne w obszarze abdominalnym – REVEAL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Nawigator 2D prospektywny dla badań w obszarze abdominalnym (detekcja i korekcja artefaktów ruchowych w dwóch kierunkach jednocześnie – tj. w płaszczyźnie obrazu) – 2D PACE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w obszarze abdominalnym w sposób nadzorowany przez skaner, to jest taki, w którym kontrolę nad postępowaniem operatora, na każdym etapie badania nadzoruje oprogramowanie, w oparciu o wybraną przez operatora strategię postępowania z danym pacjentem – </w:t>
            </w:r>
            <w:proofErr w:type="spellStart"/>
            <w:r w:rsidRPr="00453A58">
              <w:t>myExam</w:t>
            </w:r>
            <w:proofErr w:type="spellEnd"/>
            <w:r w:rsidRPr="00453A58">
              <w:t xml:space="preserve"> Abdomen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gruczołu piersiowego w sposób nadzorowany przez skaner, to jest taki, w którym kontrolę nad postępowaniem operatora, na każdym etapie badania nadzoruje oprogramowanie, w oparciu o wybraną przez operatora strategię postępowania z danym pacjentem – </w:t>
            </w:r>
            <w:proofErr w:type="spellStart"/>
            <w:r w:rsidRPr="00453A58">
              <w:t>myExam</w:t>
            </w:r>
            <w:proofErr w:type="spellEnd"/>
            <w:r w:rsidRPr="00453A58">
              <w:t xml:space="preserve"> Brest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DWI dla całego ciała (</w:t>
            </w:r>
            <w:proofErr w:type="spellStart"/>
            <w:r w:rsidRPr="00453A58">
              <w:t>whole</w:t>
            </w:r>
            <w:proofErr w:type="spellEnd"/>
            <w:r w:rsidRPr="00453A58">
              <w:t xml:space="preserve"> body DWI)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Oprogramowanie do obrazowania całego ciała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Obrazowanie całego ciała za pomocą oprogramowania pozwalającego na uzyskanie podczas jednej akwizycji obrazów typu ,,in-</w:t>
            </w:r>
            <w:proofErr w:type="spellStart"/>
            <w:r w:rsidRPr="00453A58">
              <w:t>phase</w:t>
            </w:r>
            <w:proofErr w:type="spellEnd"/>
            <w:r w:rsidRPr="00453A58">
              <w:t>, out-of-</w:t>
            </w:r>
            <w:proofErr w:type="spellStart"/>
            <w:r w:rsidRPr="00453A58">
              <w:t>phase</w:t>
            </w:r>
            <w:proofErr w:type="spellEnd"/>
            <w:r w:rsidRPr="00453A58">
              <w:t xml:space="preserve">, </w:t>
            </w:r>
            <w:proofErr w:type="spellStart"/>
            <w:r w:rsidRPr="00453A58">
              <w:t>water-only</w:t>
            </w:r>
            <w:proofErr w:type="spellEnd"/>
            <w:r w:rsidRPr="00453A58">
              <w:t xml:space="preserve">, </w:t>
            </w:r>
            <w:proofErr w:type="spellStart"/>
            <w:r w:rsidRPr="00453A58">
              <w:t>fat-only</w:t>
            </w:r>
            <w:proofErr w:type="spellEnd"/>
            <w:r w:rsidRPr="00453A58">
              <w:t xml:space="preserve">’’ – </w:t>
            </w:r>
            <w:proofErr w:type="spellStart"/>
            <w:r w:rsidRPr="00453A58">
              <w:t>Dixon</w:t>
            </w:r>
            <w:proofErr w:type="spellEnd"/>
            <w:r w:rsidRPr="00453A58">
              <w:t xml:space="preserve"> </w:t>
            </w:r>
          </w:p>
          <w:p w:rsidR="00453A58" w:rsidRPr="00453A58" w:rsidRDefault="00453A58" w:rsidP="00453A58"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Dedykowana sekwencja obrazująca umożliwiająca wykonywanie niewrażliwych na ruch badań 3D tułowia przeprowadzanych bez konieczności wstrzymania oddechu przez pacjenta, oparta o mechanizm radialnej akwizycji przestrzeni k – STAR-VIBE </w:t>
            </w:r>
          </w:p>
          <w:p w:rsidR="00453A58" w:rsidRPr="00453A58" w:rsidRDefault="00453A58" w:rsidP="00453A58"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7.9.11.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Dedykowana sekwencja obrazująca umożliwiająca wykonywanie bardzo szybkich badań dynamicznych 4D wątroby o wysokiej rozdzielczości przestrzennej i czasowej, pozwalająca na uchwycenie wielu momentów czasowych fazy tętniczej – TWIST-VIBE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7.9.12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całego ciała w sposób nadzorowany przez skaner, to jest taki, w którym kontrolę nad postępowaniem operatora, na każdym etapie badania nadzoruje oprogramowanie, </w:t>
            </w:r>
          </w:p>
          <w:p w:rsidR="00453A58" w:rsidRPr="00453A58" w:rsidRDefault="00453A58" w:rsidP="00453A58">
            <w:r w:rsidRPr="00453A58">
              <w:t xml:space="preserve">w oparciu o wybraną przez operatora strategię postępowania z danym pacjentem – </w:t>
            </w:r>
          </w:p>
          <w:p w:rsidR="00453A58" w:rsidRPr="00453A58" w:rsidRDefault="00453A58" w:rsidP="00453A58">
            <w:proofErr w:type="spellStart"/>
            <w:r w:rsidRPr="00453A58">
              <w:t>myExam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Whole</w:t>
            </w:r>
            <w:proofErr w:type="spellEnd"/>
            <w:r w:rsidRPr="00453A58">
              <w:t>-Body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Badania ortopedyczne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Podstawowe i zaawansowane protokoły i sekwencje pomiarowe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Badania barku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Badania nadgarstka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Badania stawu kolanowego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Badania stawu skokowego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kręgosłupa w sposób nadzorowany przez skaner, to jest taki, w którym kontrolę nad postępowaniem operatora, na każdym etapie badania nadzoruje oprogramowanie, </w:t>
            </w:r>
          </w:p>
          <w:p w:rsidR="00453A58" w:rsidRPr="00453A58" w:rsidRDefault="00453A58" w:rsidP="00453A58">
            <w:r w:rsidRPr="00453A58">
              <w:t xml:space="preserve">w oparciu o wybraną przez operatora strategię postępowania z danym pacjentem – </w:t>
            </w:r>
          </w:p>
          <w:p w:rsidR="00453A58" w:rsidRPr="00453A58" w:rsidRDefault="00453A58" w:rsidP="00453A58">
            <w:proofErr w:type="spellStart"/>
            <w:r w:rsidRPr="00453A58">
              <w:t>myExam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Spine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barku w sposób nadzorowany przez skaner, to jest taki, w którym kontrolę nad postępowaniem operatora, na każdym etapie badania nadzoruje oprogramowanie, </w:t>
            </w:r>
          </w:p>
          <w:p w:rsidR="00453A58" w:rsidRPr="00453A58" w:rsidRDefault="00453A58" w:rsidP="00453A58">
            <w:r w:rsidRPr="00453A58">
              <w:t xml:space="preserve">w oparciu o wybraną przez operatora strategię postępowania z danym pacjentem – </w:t>
            </w:r>
          </w:p>
          <w:p w:rsidR="00453A58" w:rsidRPr="00453A58" w:rsidRDefault="00453A58" w:rsidP="00453A58">
            <w:proofErr w:type="spellStart"/>
            <w:r w:rsidRPr="00453A58">
              <w:t>myExam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Shoulder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kolana w sposób nadzorowany przez skaner, to jest taki, w którym kontrolę nad postępowaniem operatora, na każdym etapie badania nadzoruje oprogramowanie, </w:t>
            </w:r>
          </w:p>
          <w:p w:rsidR="00453A58" w:rsidRPr="00453A58" w:rsidRDefault="00453A58" w:rsidP="00453A58">
            <w:r w:rsidRPr="00453A58">
              <w:t xml:space="preserve">w oparciu o wybraną przez operatora strategię postępowania z danym pacjentem – </w:t>
            </w:r>
          </w:p>
          <w:p w:rsidR="00453A58" w:rsidRPr="00453A58" w:rsidRDefault="00453A58" w:rsidP="00453A58">
            <w:proofErr w:type="spellStart"/>
            <w:r w:rsidRPr="00453A58">
              <w:t>myExam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Knee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Dedykowane oprogramowanie umożliwiające zautomatyzowane przeprowadzanie badań stawu biodrowego w sposób nadzorowany przez skaner, to jest taki, w którym kontrolę nad postępowaniem operatora, na każdym etapie badania nadzoruje oprogramowanie, </w:t>
            </w:r>
          </w:p>
          <w:p w:rsidR="00453A58" w:rsidRPr="00453A58" w:rsidRDefault="00453A58" w:rsidP="00453A58">
            <w:r w:rsidRPr="00453A58">
              <w:t xml:space="preserve">w oparciu o wybraną przez operatora strategię postępowania z danym pacjentem – </w:t>
            </w:r>
          </w:p>
          <w:p w:rsidR="00453A58" w:rsidRPr="00453A58" w:rsidRDefault="00453A58" w:rsidP="00453A58">
            <w:proofErr w:type="spellStart"/>
            <w:r w:rsidRPr="00453A58">
              <w:t>myExam</w:t>
            </w:r>
            <w:proofErr w:type="spellEnd"/>
            <w:r w:rsidRPr="00453A58">
              <w:t xml:space="preserve"> Hip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7.10.10.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Mapowanie parametryczne tkanki, w tym chrząstki stawu, pozwalające na otrzymanie map parametrycznych dla właściwości T1, T2, T2*, R2 i R2* obrazowanej tkanki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7.11.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Obrazowanie równoległe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7.11.1.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Obrazowanie równoległe w oparciu o algorytmy na bazie rekonstrukcji obrazów – SENSE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7.11.2.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Obrazowanie równoległe w oparciu o algorytmy na bazie rekonstrukcji przestrzeni k – GRAPPA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7.11.3.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Maksymalny współczynnik przyspieszenia dla obrazowania równoległego </w:t>
            </w:r>
            <w:r w:rsidRPr="00453A58">
              <w:br/>
              <w:t>w jednym kierunku lub w dwóch kierunkach jednocześnie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16 n;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Techniki redukcji artefaktów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redukcji artefaktów ruchowych wspierająca obrazowanie ważone T1 – BLADE </w:t>
            </w:r>
          </w:p>
          <w:p w:rsidR="00453A58" w:rsidRPr="00453A58" w:rsidRDefault="00453A58" w:rsidP="00453A58"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redukcji artefaktów ruchowych wspierająca obrazowanie ważone T2 – BLADE </w:t>
            </w:r>
          </w:p>
          <w:p w:rsidR="00453A58" w:rsidRPr="00453A58" w:rsidRDefault="00453A58" w:rsidP="00453A58"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redukcji artefaktów ruchowych wspierająca obrazowanie typu FLAIR – BLADE </w:t>
            </w:r>
          </w:p>
          <w:p w:rsidR="00453A58" w:rsidRPr="00453A58" w:rsidRDefault="00453A58" w:rsidP="00453A58"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redukcji artefaktów pochodzących od implantów metalowych – WARP </w:t>
            </w:r>
          </w:p>
          <w:p w:rsidR="00453A58" w:rsidRPr="00453A58" w:rsidRDefault="00453A58" w:rsidP="00453A58"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Technika redukcji artefaktów pochodzących od implantów metalowych działająca w oparciu o technikę VAT (</w:t>
            </w:r>
            <w:proofErr w:type="spellStart"/>
            <w:r w:rsidRPr="00453A58">
              <w:t>Variable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Angle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Tilt</w:t>
            </w:r>
            <w:proofErr w:type="spellEnd"/>
            <w:r w:rsidRPr="00453A58">
              <w:t>) – SEMAC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7.12.6.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Technika redukcji artefaktów pochodzących od implantów metalowych działająca w oparciu o technikę VAT i realizowana przez mechanizm ultraszybkiego próbkowania macierzy rzadkich – </w:t>
            </w:r>
            <w:proofErr w:type="spellStart"/>
            <w:r w:rsidRPr="00453A58">
              <w:t>Compressed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Sensing</w:t>
            </w:r>
            <w:proofErr w:type="spellEnd"/>
            <w:r w:rsidRPr="00453A58">
              <w:t xml:space="preserve"> SEMAC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7.13.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Techniki spektralnej saturacji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7.13.1.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Częstotliwościowo selektywna saturacja tłuszczu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7.13.2.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Częstotliwościowo selektywna saturacja wody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8. SEKWENCJE OBRAZUJĄCE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Spin Echo (SE)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Inversion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Recovery</w:t>
            </w:r>
            <w:proofErr w:type="spellEnd"/>
            <w:r w:rsidRPr="00453A58">
              <w:t xml:space="preserve"> (IR)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Gradient Echo (GRE)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2D i 3D FLASH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2D i 3D FISP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2D i 3D Fast GRE z impulsami preparacyjnymi – </w:t>
            </w:r>
            <w:proofErr w:type="spellStart"/>
            <w:r w:rsidRPr="00453A58">
              <w:t>TurboFLASH</w:t>
            </w:r>
            <w:proofErr w:type="spellEnd"/>
            <w:r w:rsidRPr="00453A58">
              <w:t xml:space="preserve"> lub odpowiednio </w:t>
            </w:r>
          </w:p>
          <w:p w:rsidR="00453A58" w:rsidRPr="00453A58" w:rsidRDefault="00453A58" w:rsidP="00453A58">
            <w:r w:rsidRPr="00453A58">
              <w:t>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Szybkie 3D GRE z saturacją tłuszczu (tj. tylko jeden impuls saturacji tłuszczu na cykl kodowania 3D) dla wysokorozdzielczego obrazowania 3D w obszarze brzucha przy zatrzymanym oddechu – VIBE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lang w:val="sv-SE"/>
              </w:rPr>
              <w:t xml:space="preserve">2D i 3D GRE z full transverse rephasing – TrueFISP </w:t>
            </w:r>
            <w:r w:rsidRPr="00453A58">
              <w:t>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2D i 3D GRE z </w:t>
            </w:r>
            <w:proofErr w:type="spellStart"/>
            <w:r w:rsidRPr="00453A58">
              <w:t>full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transverse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rephasing</w:t>
            </w:r>
            <w:proofErr w:type="spellEnd"/>
            <w:r w:rsidRPr="00453A58">
              <w:t xml:space="preserve"> w kombinacji ze spektralną saturacją tłuszczu – </w:t>
            </w:r>
            <w:proofErr w:type="spellStart"/>
            <w:r w:rsidRPr="00453A58">
              <w:t>TrueFISP</w:t>
            </w:r>
            <w:proofErr w:type="spellEnd"/>
            <w:r w:rsidRPr="00453A58">
              <w:t xml:space="preserve"> with </w:t>
            </w:r>
            <w:proofErr w:type="spellStart"/>
            <w:r w:rsidRPr="00453A58">
              <w:t>Fat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Saturation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2D i 3D GRE z RF-</w:t>
            </w:r>
            <w:proofErr w:type="spellStart"/>
            <w:r w:rsidRPr="00453A58">
              <w:t>rephasing</w:t>
            </w:r>
            <w:proofErr w:type="spellEnd"/>
            <w:r w:rsidRPr="00453A58">
              <w:t xml:space="preserve"> – PSIF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lang w:val="en-US"/>
              </w:rPr>
              <w:t>Turbo Spin Echo (TSE)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Multi-</w:t>
            </w:r>
            <w:proofErr w:type="spellStart"/>
            <w:r w:rsidRPr="00453A58">
              <w:t>Shot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Single-</w:t>
            </w:r>
            <w:proofErr w:type="spellStart"/>
            <w:r w:rsidRPr="00453A58">
              <w:t>Shot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Turbo IR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Izotropowe sekwencje 3D pozwalające w </w:t>
            </w:r>
            <w:proofErr w:type="spellStart"/>
            <w:r w:rsidRPr="00453A58">
              <w:t>postprocessingu</w:t>
            </w:r>
            <w:proofErr w:type="spellEnd"/>
            <w:r w:rsidRPr="00453A58">
              <w:t xml:space="preserve"> 3D na uzyskanie rekonstrukcji dowolnej płaszczyzny bez straty jakości – SPACE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Izotropowe sekwencje 3D pozwalające w </w:t>
            </w:r>
            <w:proofErr w:type="spellStart"/>
            <w:r w:rsidRPr="00453A58">
              <w:t>postprocessingu</w:t>
            </w:r>
            <w:proofErr w:type="spellEnd"/>
            <w:r w:rsidRPr="00453A58">
              <w:t xml:space="preserve"> 3D na uzyskanie rekonstrukcji dowolnej płaszczyzny bez straty jakości realizowane przez mechanizm ultraszybkiego próbkowania macierzy rzadkich – </w:t>
            </w:r>
            <w:proofErr w:type="spellStart"/>
            <w:r w:rsidRPr="00453A58">
              <w:t>Compressed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Sensing</w:t>
            </w:r>
            <w:proofErr w:type="spellEnd"/>
            <w:r w:rsidRPr="00453A58">
              <w:t xml:space="preserve"> SPACE lub odpowiednio </w:t>
            </w:r>
          </w:p>
          <w:p w:rsidR="00453A58" w:rsidRPr="00453A58" w:rsidRDefault="00453A58" w:rsidP="00453A58">
            <w:r w:rsidRPr="00453A58">
              <w:t>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Pakiet oprogramowania pozwalający na uzyskanie podczas jednej akwizycji obrazów typu </w:t>
            </w:r>
            <w:r w:rsidRPr="00453A58">
              <w:br/>
              <w:t>,,in-</w:t>
            </w:r>
            <w:proofErr w:type="spellStart"/>
            <w:r w:rsidRPr="00453A58">
              <w:t>phase</w:t>
            </w:r>
            <w:proofErr w:type="spellEnd"/>
            <w:r w:rsidRPr="00453A58">
              <w:t>, out-of-</w:t>
            </w:r>
            <w:proofErr w:type="spellStart"/>
            <w:r w:rsidRPr="00453A58">
              <w:t>phase</w:t>
            </w:r>
            <w:proofErr w:type="spellEnd"/>
            <w:r w:rsidRPr="00453A58">
              <w:t xml:space="preserve">, </w:t>
            </w:r>
            <w:proofErr w:type="spellStart"/>
            <w:r w:rsidRPr="00453A58">
              <w:t>water-only</w:t>
            </w:r>
            <w:proofErr w:type="spellEnd"/>
            <w:r w:rsidRPr="00453A58">
              <w:t xml:space="preserve">, </w:t>
            </w:r>
            <w:proofErr w:type="spellStart"/>
            <w:r w:rsidRPr="00453A58">
              <w:t>fat-only</w:t>
            </w:r>
            <w:proofErr w:type="spellEnd"/>
            <w:r w:rsidRPr="00453A58">
              <w:t>’’ – DIXON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Sekwencja </w:t>
            </w:r>
            <w:proofErr w:type="spellStart"/>
            <w:r w:rsidRPr="00453A58">
              <w:t>Steady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State</w:t>
            </w:r>
            <w:proofErr w:type="spellEnd"/>
            <w:r w:rsidRPr="00453A58">
              <w:t xml:space="preserve"> 3D do badań drobnych struktur OUN – 3D CISS lub odpowiednio </w:t>
            </w:r>
          </w:p>
          <w:p w:rsidR="00453A58" w:rsidRPr="00453A58" w:rsidRDefault="00453A58" w:rsidP="00453A58">
            <w:r w:rsidRPr="00453A58">
              <w:t>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8.19.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Sekwencja </w:t>
            </w:r>
            <w:proofErr w:type="spellStart"/>
            <w:r w:rsidRPr="00453A58">
              <w:t>Steady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State</w:t>
            </w:r>
            <w:proofErr w:type="spellEnd"/>
            <w:r w:rsidRPr="00453A58">
              <w:t xml:space="preserve"> 3D do różnicowania chrząstki od płynu w badaniach stawów – </w:t>
            </w:r>
          </w:p>
          <w:p w:rsidR="00453A58" w:rsidRPr="00453A58" w:rsidRDefault="00453A58" w:rsidP="00453A58">
            <w:r w:rsidRPr="00453A58">
              <w:t>3D DESS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8.20.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Specjalistyczna sekwencja obrazująca o zredukowanym poziomie hałasu akustycznego stosowana w obrazowaniu 3D głowy typu T1 – PETRA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851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8.21.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Pakiet specjalistycznych sekwencji obrazujących o zredukowanym poziomie hałasu akustycznego w obrazowaniu 2D/3D głowy co najmniej typu T1 i T2 oraz w obrazowaniu 2D/3D stawów co najmniej typu T1, T2 i PD – </w:t>
            </w:r>
            <w:proofErr w:type="spellStart"/>
            <w:r w:rsidRPr="00453A58">
              <w:t>QuietSuite</w:t>
            </w:r>
            <w:proofErr w:type="spellEnd"/>
            <w:r w:rsidRPr="00453A58">
              <w:t xml:space="preserve">, </w:t>
            </w:r>
            <w:proofErr w:type="spellStart"/>
            <w:r w:rsidRPr="00453A58">
              <w:t>QuietX</w:t>
            </w:r>
            <w:proofErr w:type="spellEnd"/>
            <w:r w:rsidRPr="00453A58">
              <w:t xml:space="preserve"> lub odpowiednio </w:t>
            </w:r>
          </w:p>
          <w:p w:rsidR="00453A58" w:rsidRPr="00453A58" w:rsidRDefault="00453A58" w:rsidP="00453A58">
            <w:r w:rsidRPr="00453A58">
              <w:t>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9. PARAMETRY SKANOWANIA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9.1.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Maks. </w:t>
            </w:r>
            <w:proofErr w:type="spellStart"/>
            <w:r w:rsidRPr="00453A58">
              <w:t>FoV</w:t>
            </w:r>
            <w:proofErr w:type="spellEnd"/>
            <w:r w:rsidRPr="00453A58">
              <w:t xml:space="preserve"> w płaszczyźnie poprzecznej x/y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50 cm;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9.2.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Maks. </w:t>
            </w:r>
            <w:proofErr w:type="spellStart"/>
            <w:r w:rsidRPr="00453A58">
              <w:t>FoV</w:t>
            </w:r>
            <w:proofErr w:type="spellEnd"/>
            <w:r w:rsidRPr="00453A58">
              <w:t xml:space="preserve"> w osi podłużnej z (statycznie)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50 cm;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9.3.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Maks. </w:t>
            </w:r>
            <w:proofErr w:type="spellStart"/>
            <w:r w:rsidRPr="00453A58">
              <w:t>FoV</w:t>
            </w:r>
            <w:proofErr w:type="spellEnd"/>
            <w:r w:rsidRPr="00453A58">
              <w:t xml:space="preserve"> w osi podłużnej z (zakres skanowania z przesuwem stołu pacjenta)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200 cm;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9.4.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Min. </w:t>
            </w:r>
            <w:proofErr w:type="spellStart"/>
            <w:r w:rsidRPr="00453A58">
              <w:t>FoV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≤ 1,0 cm;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9.5.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Matryca akwizycyjna 1024 x 1024, bez interpolacji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10. KONSOLA OPERATORSKA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Komputer sterujący</w:t>
            </w:r>
            <w:r w:rsidRPr="00453A58">
              <w:t xml:space="preserve"> (procesor, system operacyjny)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10.1.1.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Pojemność HDD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400 GB;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10.1.2.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3A58" w:rsidRPr="00453A58" w:rsidRDefault="00453A58" w:rsidP="00453A58">
            <w:r w:rsidRPr="00453A58">
              <w:t>Nagrywanie obrazów na dyskach CD-R i DVD wraz z przeglądarką DICOM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Komputer obrazowy</w:t>
            </w:r>
            <w:r w:rsidRPr="00453A58">
              <w:t xml:space="preserve"> (procesor, system operacyjny)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10.2.1.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Matryca rekonstrukcyjna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1024x1024;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10.2.2.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Szybkość rekonstrukcji dla obrazów w matrycy 256 x 256 przy 100% FOV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30 000 obrazów/s;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10.2.3.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Równoczesne skany i rekonstrukcja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10.3.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Monitory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10.3.1.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Konsola 2-monitorowa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10.3.2.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Przekątna monitorów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24”;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10.3.3.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Matryca monitorów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≥ 1920x1200;</w:t>
            </w:r>
          </w:p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  <w:bCs/>
              </w:rPr>
              <w:t>Oprogramowanie kliniczne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Wykresy </w:t>
            </w:r>
            <w:proofErr w:type="spellStart"/>
            <w:r w:rsidRPr="00453A58">
              <w:t>time-intensity</w:t>
            </w:r>
            <w:proofErr w:type="spellEnd"/>
            <w:r w:rsidRPr="00453A58">
              <w:t xml:space="preserve"> dla badań z kontrastem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MPR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MIP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Rekonstrukcje 3D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Rekonstrukcje SSD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Oprogramowanie do analizy wyników spektroskopii protonowej (</w:t>
            </w:r>
            <w:r w:rsidRPr="00453A58">
              <w:rPr>
                <w:vertAlign w:val="superscript"/>
              </w:rPr>
              <w:t>1</w:t>
            </w:r>
            <w:r w:rsidRPr="00453A58">
              <w:t>H MRS) typu SVS i CSI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lang w:val="en-US"/>
              </w:rPr>
            </w:pPr>
          </w:p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Oprogramowanie do łączenia poszczególnych obrazów z badań obszarów rozległych </w:t>
            </w:r>
          </w:p>
          <w:p w:rsidR="00453A58" w:rsidRPr="00453A58" w:rsidRDefault="00453A58" w:rsidP="00453A58">
            <w:r w:rsidRPr="00453A58">
              <w:t xml:space="preserve">(np. całego kręgosłupa) w jeden obraz całego badanego obszaru funkcjonujące w sposób całkowicie automatyczny – </w:t>
            </w:r>
            <w:proofErr w:type="spellStart"/>
            <w:r w:rsidRPr="00453A58">
              <w:t>Inline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Composing</w:t>
            </w:r>
            <w:proofErr w:type="spellEnd"/>
            <w:r w:rsidRPr="00453A58">
              <w:t xml:space="preserve">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Oprogramowanie do planowania badania dużych obszarów anatomicznych np. całego tułowia w kilku krokach, pozwalające na ustawienie protokołów badania dla wszystkich kroków jednorazowo – Tim Planning Suite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roofErr w:type="spellStart"/>
            <w:r w:rsidRPr="00453A58">
              <w:t>Traktografia</w:t>
            </w:r>
            <w:proofErr w:type="spellEnd"/>
            <w:r w:rsidRPr="00453A58">
              <w:t xml:space="preserve"> tensora dyfuzji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Możliwość generowania map ADC z wybranych wartości b dyfuzji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10.4.11.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Możliwość zdalnego przejęcia pracy na konsoli operatorskiej z poziomu stanowiska eksperckiego znajdującego się w obrębie tej samej zabezpieczonej sieci komputerowej – </w:t>
            </w:r>
            <w:proofErr w:type="spellStart"/>
            <w:r w:rsidRPr="00453A58">
              <w:t>Expert</w:t>
            </w:r>
            <w:proofErr w:type="spellEnd"/>
            <w:r w:rsidRPr="00453A58">
              <w:t>-i lub odpowiednio do nomenklatury producenta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</w:t>
            </w:r>
          </w:p>
        </w:tc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Praca w sieci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DICOM 3.0 – SEND/RECEIVE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DICOM 3.0 – QUERY/RETRIEVE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DICOM 3.0 – DICOM PRINT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DICOM 3.0 – Storage </w:t>
            </w:r>
            <w:proofErr w:type="spellStart"/>
            <w:r w:rsidRPr="00453A58">
              <w:t>Commitment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DICOM 3.0 – </w:t>
            </w:r>
            <w:proofErr w:type="spellStart"/>
            <w:r w:rsidRPr="00453A58">
              <w:t>Modality</w:t>
            </w:r>
            <w:proofErr w:type="spellEnd"/>
            <w:r w:rsidRPr="00453A58">
              <w:t xml:space="preserve"> </w:t>
            </w:r>
            <w:proofErr w:type="spellStart"/>
            <w:r w:rsidRPr="00453A58">
              <w:t>Worklist</w:t>
            </w:r>
            <w:proofErr w:type="spellEnd"/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10.5.6.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DICOM 3.0 – MPPS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11. WYPOSAŻENIE</w:t>
            </w:r>
          </w:p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11.1.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Zestaw fantomów do kalibracji systemu i oferowanych cewek</w:t>
            </w:r>
          </w:p>
          <w:p w:rsidR="00453A58" w:rsidRPr="00453A58" w:rsidRDefault="00453A58" w:rsidP="00453A58">
            <w:r w:rsidRPr="00453A58">
              <w:t>Dopuszczalne jest pozostawienie fantomów aktualnie wykorzystywanych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397"/>
          <w:jc w:val="center"/>
        </w:trPr>
        <w:tc>
          <w:tcPr>
            <w:tcW w:w="9062" w:type="dxa"/>
            <w:gridSpan w:val="4"/>
            <w:shd w:val="clear" w:color="auto" w:fill="DBE5F1"/>
            <w:vAlign w:val="center"/>
          </w:tcPr>
          <w:p w:rsidR="00453A58" w:rsidRPr="00453A58" w:rsidRDefault="00453A58" w:rsidP="00453A58">
            <w:r w:rsidRPr="00453A58">
              <w:rPr>
                <w:b/>
              </w:rPr>
              <w:t>12. WYMAGANIA</w:t>
            </w:r>
          </w:p>
        </w:tc>
      </w:tr>
      <w:tr w:rsidR="00453A58" w:rsidRPr="00453A58" w:rsidTr="000877D2">
        <w:trPr>
          <w:trHeight w:val="1077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Demontaż i usunięcie z terenu siedziby Zmawiającego przeznaczonych do wymiany elementów używanych w obecnie zainstalowanym rezonansie magnetycznym oraz wyposażenia. Wykonawca zapewnia wszelkie niezbędne narzędzia do demontażu elementów urządzenia oraz wyposażenia i załadunku celem ich odbioru od Zamawiającego.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Wszystkie podlegające wymianie elementy rezonansu magnetycznego oraz wyposażenie, fabrycznie nowe (rok produkcji 2022/2023).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Szkolenia  uzupełniające personelu medycznego: min. 5 dni szkoleń w siedzibie Zamawiającego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Szkolenia personelu technicznego i medycznego w zakresie podstawowej obsługi, eksploatacji, konserwacji: min. 2 dni szkoleniowe w siedzibie Zamawiającego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12.5.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Uzupełnienie helu w magnesie do maksymalnego poziomu eksploatacyjnego zalecanego przez producenta przed podpisaniem „Protokołu uruchomienia i przekazania do eksploatacji” urządzenia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12.6.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Instrukcja obsługi urządzenia w języku polskim w formie papierowej i elektronicznej dostarczona przed podpisaniem „Protokołu uruchomienia i przekazania do eksploatacji”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12.7.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Okres gwarancji urządzenia: 24 miesiące, licząc od daty podpisania przez Strony bez uwag </w:t>
            </w:r>
          </w:p>
          <w:p w:rsidR="00453A58" w:rsidRPr="00453A58" w:rsidRDefault="00453A58" w:rsidP="00453A58">
            <w:r w:rsidRPr="00453A58">
              <w:t>i zastrzeżeń „Protokołu uruchomienia i przekazania do eksploatacji”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12.8.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W ramach gwarancji, przeglądy okresowe w całym okresie jej trwania zgodnie z zaleceniami producenta, wraz z wszystkimi częściami niezbędnymi do wykonania przeglądu 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12.9.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rPr>
                <w:bCs/>
                <w:iCs/>
              </w:rPr>
              <w:t>Wykonawca gwarantuje, że jego urządzenie już po oddaniu do eksploatacji nie będzie wymagało prowadzenia przez Zamawiającego dodatkowych instalacji i innych prac związanych z eksploatacją urządzenia.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6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12.10.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pPr>
              <w:rPr>
                <w:bCs/>
                <w:iCs/>
              </w:rPr>
            </w:pPr>
            <w:r w:rsidRPr="00453A58">
              <w:rPr>
                <w:bCs/>
                <w:iCs/>
              </w:rPr>
              <w:t>Utrzymanie integracji rezonansu z systemem informatycznym RIS oraz PACS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12.11.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 xml:space="preserve">Urządzenie oznakowane znakiem CE </w:t>
            </w:r>
          </w:p>
          <w:p w:rsidR="00453A58" w:rsidRPr="00453A58" w:rsidRDefault="00453A58" w:rsidP="00453A58">
            <w:r w:rsidRPr="00453A58">
              <w:t>(potwierdzone certyfikatem CE lub deklaracją zgodności).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12.12.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Wykonawca wraz z uruchomieniem urządzenia dostarczy paszport techniczny zawierający co najmniej takie dane jak: nazwa, typ (model), producent, rok produkcji, nr seryjny (fabryczny), kody z aktualnie obowiązującego słownika NFZ.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68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12.13.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Możliwość przeprowadzenia zdalnej diagnostyki serwisowej urządzenia za pomocą sieci teleinformatycznej, poprzez tunel VPN oraz system PAM, zgodnie z polityką bezpieczeństwa Zamawiającego.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  <w:tr w:rsidR="00453A58" w:rsidRPr="00453A58" w:rsidTr="000877D2">
        <w:trPr>
          <w:trHeight w:val="510"/>
          <w:jc w:val="center"/>
        </w:trPr>
        <w:tc>
          <w:tcPr>
            <w:tcW w:w="996" w:type="dxa"/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12.14.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58" w:rsidRPr="00453A58" w:rsidRDefault="00453A58" w:rsidP="00453A58">
            <w:r w:rsidRPr="00453A58">
              <w:t>Dostarczone komputery muszą posiadać system operacyjny wspierany przez producenta oraz mieć możliwość podłączenia do domeny AD Zamawiającego.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53A58" w:rsidRPr="00453A58" w:rsidRDefault="00453A58" w:rsidP="00453A58"/>
        </w:tc>
        <w:tc>
          <w:tcPr>
            <w:tcW w:w="2607" w:type="dxa"/>
            <w:shd w:val="clear" w:color="auto" w:fill="auto"/>
            <w:vAlign w:val="center"/>
          </w:tcPr>
          <w:p w:rsidR="00453A58" w:rsidRPr="00453A58" w:rsidRDefault="00453A58" w:rsidP="00453A58"/>
        </w:tc>
      </w:tr>
    </w:tbl>
    <w:p w:rsidR="00453A58" w:rsidRDefault="00453A58" w:rsidP="00CB6968"/>
    <w:p w:rsidR="00E246D7" w:rsidRDefault="008724FB" w:rsidP="00CB6968">
      <w:r>
        <w:t>Pozostałe</w:t>
      </w:r>
      <w:r w:rsidR="00E246D7">
        <w:t xml:space="preserve"> wymagania:</w:t>
      </w:r>
    </w:p>
    <w:p w:rsidR="00E246D7" w:rsidRDefault="00E246D7" w:rsidP="00E246D7">
      <w:pPr>
        <w:pStyle w:val="Akapitzlist"/>
        <w:numPr>
          <w:ilvl w:val="0"/>
          <w:numId w:val="44"/>
        </w:numPr>
        <w:rPr>
          <w:sz w:val="24"/>
          <w:szCs w:val="24"/>
        </w:rPr>
      </w:pPr>
      <w:r w:rsidRPr="00E246D7">
        <w:rPr>
          <w:sz w:val="24"/>
          <w:szCs w:val="24"/>
        </w:rPr>
        <w:t>system podglądu pacjenta i interkom</w:t>
      </w:r>
    </w:p>
    <w:p w:rsidR="00E246D7" w:rsidRDefault="00E246D7" w:rsidP="00E246D7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bezprzewodowy system do synchronizacji badania sygnałami fizjologicznymi pacjenta (EKG, oddech)</w:t>
      </w:r>
    </w:p>
    <w:p w:rsidR="00E246D7" w:rsidRDefault="00E246D7" w:rsidP="00E246D7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biurko pod konsolę akwizycyjną i kontener na komputer</w:t>
      </w:r>
    </w:p>
    <w:p w:rsidR="00E246D7" w:rsidRDefault="00E246D7" w:rsidP="00E246D7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strzykawka automatyczna</w:t>
      </w:r>
    </w:p>
    <w:p w:rsidR="00E246D7" w:rsidRDefault="009D7FC7" w:rsidP="00E246D7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wymiana krytycznych elementów posiadanego magnesu tj. </w:t>
      </w:r>
      <w:proofErr w:type="spellStart"/>
      <w:r>
        <w:rPr>
          <w:sz w:val="24"/>
          <w:szCs w:val="24"/>
        </w:rPr>
        <w:t>coldhead</w:t>
      </w:r>
      <w:proofErr w:type="spellEnd"/>
      <w:r>
        <w:rPr>
          <w:sz w:val="24"/>
          <w:szCs w:val="24"/>
        </w:rPr>
        <w:t>, linii helowych itd. oraz uzupełnienie poziomu helu (750 litrów)</w:t>
      </w:r>
    </w:p>
    <w:p w:rsidR="008724FB" w:rsidRDefault="008724FB" w:rsidP="00E246D7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wykonanie niezbędnych prac adaptacyjnych wraz z wymianą systemu chłodzenia aparatu</w:t>
      </w:r>
      <w:r w:rsidR="00316D33">
        <w:rPr>
          <w:sz w:val="24"/>
          <w:szCs w:val="24"/>
        </w:rPr>
        <w:t>: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wymiana wykładziny w klatce RF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wymiana kasetonów sufitowych w klatce RF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wymiana oświetlenia w klatce RF/LED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nowa skrzynia rozdzielczo/prądowa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przygotowanie i zabezpieczenie drogi transportowej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usługa transportowa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usługa dźwigowa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pomiar tłumienności ekranowania – 2 razy (przed i po)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pomiar skuteczności przeciwporażeniowej instalacji zasilającej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pomiar impedancji</w:t>
      </w:r>
    </w:p>
    <w:p w:rsidR="00316D33" w:rsidRDefault="00316D33" w:rsidP="00316D33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agregat wody lodowej 83kW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2 obiegi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2 pompy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freecooler</w:t>
      </w:r>
      <w:proofErr w:type="spellEnd"/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glikol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dodatkowy wymiennik z pompą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instalacja kanałów, przewierty</w:t>
      </w:r>
    </w:p>
    <w:p w:rsidR="00316D33" w:rsidRDefault="00316D33" w:rsidP="00316D33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transport, posadowienie, montaż</w:t>
      </w:r>
    </w:p>
    <w:p w:rsidR="00316D33" w:rsidRDefault="00316D33" w:rsidP="00316D33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integracja z posiadanym systemem PACS</w:t>
      </w:r>
    </w:p>
    <w:p w:rsidR="005E4A6F" w:rsidRDefault="005E4A6F" w:rsidP="00316D33">
      <w:pPr>
        <w:pStyle w:val="Akapitzlist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rozbudowa systemu </w:t>
      </w:r>
      <w:proofErr w:type="spellStart"/>
      <w:r>
        <w:rPr>
          <w:sz w:val="24"/>
          <w:szCs w:val="24"/>
        </w:rPr>
        <w:t>syngo.via</w:t>
      </w:r>
      <w:proofErr w:type="spellEnd"/>
      <w:r>
        <w:rPr>
          <w:sz w:val="24"/>
          <w:szCs w:val="24"/>
        </w:rPr>
        <w:t xml:space="preserve"> o niezbędne do pełnego wykorzystania możliwości oferowanego aparatu: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aktualizacja oprogramowania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wymiana sprzętowa serwera na umożliwiający wykorzystanie nowych aplikacji, wymiana na serwer o zwiększonej wydajności (384 GB RAM, macierz 15 TB SSD)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syngo.MR </w:t>
      </w:r>
      <w:proofErr w:type="spellStart"/>
      <w:r>
        <w:rPr>
          <w:sz w:val="24"/>
          <w:szCs w:val="24"/>
        </w:rPr>
        <w:t>Onco</w:t>
      </w:r>
      <w:proofErr w:type="spellEnd"/>
      <w:r>
        <w:rPr>
          <w:sz w:val="24"/>
          <w:szCs w:val="24"/>
        </w:rPr>
        <w:t xml:space="preserve"> – 2 użytkowników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syngo.MR </w:t>
      </w:r>
      <w:proofErr w:type="spellStart"/>
      <w:r>
        <w:rPr>
          <w:sz w:val="24"/>
          <w:szCs w:val="24"/>
        </w:rPr>
        <w:t>OncoTrend</w:t>
      </w:r>
      <w:proofErr w:type="spellEnd"/>
      <w:r>
        <w:rPr>
          <w:sz w:val="24"/>
          <w:szCs w:val="24"/>
        </w:rPr>
        <w:t xml:space="preserve"> – 2 użytkowników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syngo.MR 3D </w:t>
      </w:r>
      <w:proofErr w:type="spellStart"/>
      <w:r>
        <w:rPr>
          <w:sz w:val="24"/>
          <w:szCs w:val="24"/>
        </w:rPr>
        <w:t>Lesion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Segmentation</w:t>
      </w:r>
      <w:proofErr w:type="spellEnd"/>
      <w:r>
        <w:rPr>
          <w:sz w:val="24"/>
          <w:szCs w:val="24"/>
        </w:rPr>
        <w:t xml:space="preserve"> – 2 użytkowników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syngo.CT</w:t>
      </w:r>
      <w:proofErr w:type="spellEnd"/>
      <w:r>
        <w:rPr>
          <w:sz w:val="24"/>
          <w:szCs w:val="24"/>
        </w:rPr>
        <w:t xml:space="preserve"> ASPECTS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syngo.CT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Lung</w:t>
      </w:r>
      <w:proofErr w:type="spellEnd"/>
      <w:r>
        <w:rPr>
          <w:sz w:val="24"/>
          <w:szCs w:val="24"/>
        </w:rPr>
        <w:t xml:space="preserve"> CAD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syngo.MR </w:t>
      </w:r>
      <w:proofErr w:type="spellStart"/>
      <w:r>
        <w:rPr>
          <w:sz w:val="24"/>
          <w:szCs w:val="24"/>
        </w:rPr>
        <w:t>Neuro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Perfusion</w:t>
      </w:r>
      <w:proofErr w:type="spellEnd"/>
      <w:r>
        <w:rPr>
          <w:sz w:val="24"/>
          <w:szCs w:val="24"/>
        </w:rPr>
        <w:t xml:space="preserve"> – 2 użytkowników</w:t>
      </w:r>
    </w:p>
    <w:p w:rsidR="005E4A6F" w:rsidRDefault="005E4A6F" w:rsidP="005E4A6F">
      <w:pPr>
        <w:pStyle w:val="Akapitzlist"/>
        <w:numPr>
          <w:ilvl w:val="1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syngo.MR </w:t>
      </w:r>
      <w:proofErr w:type="spellStart"/>
      <w:r>
        <w:rPr>
          <w:sz w:val="24"/>
          <w:szCs w:val="24"/>
        </w:rPr>
        <w:t>Neuro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Perfusion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Mismatch</w:t>
      </w:r>
      <w:proofErr w:type="spellEnd"/>
    </w:p>
    <w:p w:rsidR="005E4A6F" w:rsidRPr="00E246D7" w:rsidRDefault="005E4A6F" w:rsidP="005E4A6F">
      <w:pPr>
        <w:pStyle w:val="Akapitzlist"/>
        <w:ind w:left="1440"/>
        <w:rPr>
          <w:sz w:val="24"/>
          <w:szCs w:val="24"/>
        </w:rPr>
      </w:pPr>
    </w:p>
    <w:sectPr w:rsidR="005E4A6F" w:rsidRPr="00E24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D2" w:rsidRDefault="000877D2" w:rsidP="00C017B5">
      <w:r>
        <w:separator/>
      </w:r>
    </w:p>
  </w:endnote>
  <w:endnote w:type="continuationSeparator" w:id="0">
    <w:p w:rsidR="000877D2" w:rsidRDefault="000877D2" w:rsidP="00C0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emens Sans">
    <w:charset w:val="EE"/>
    <w:family w:val="auto"/>
    <w:pitch w:val="variable"/>
    <w:sig w:usb0="A00002FF" w:usb1="0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D2" w:rsidRDefault="000877D2" w:rsidP="00C017B5">
      <w:r>
        <w:separator/>
      </w:r>
    </w:p>
  </w:footnote>
  <w:footnote w:type="continuationSeparator" w:id="0">
    <w:p w:rsidR="000877D2" w:rsidRDefault="000877D2" w:rsidP="00C0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D2" w:rsidRDefault="000877D2">
    <w:pPr>
      <w:pStyle w:val="Nagwek"/>
    </w:pPr>
    <w:r>
      <w:rPr>
        <w:noProof/>
        <w:lang w:eastAsia="pl-PL"/>
      </w:rPr>
      <w:drawing>
        <wp:inline distT="0" distB="0" distL="0" distR="0" wp14:anchorId="35CF2C4A" wp14:editId="67E2EEAB">
          <wp:extent cx="5760720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7D2" w:rsidRDefault="0008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 w15:restartNumberingAfterBreak="0">
    <w:nsid w:val="0000000A"/>
    <w:multiLevelType w:val="multilevel"/>
    <w:tmpl w:val="0000000A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D"/>
    <w:multiLevelType w:val="singleLevel"/>
    <w:tmpl w:val="0000001D"/>
    <w:name w:val="WW8Num44"/>
    <w:lvl w:ilvl="0">
      <w:start w:val="1"/>
      <w:numFmt w:val="bullet"/>
      <w:pStyle w:val="ListaP3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cs="Wingdings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</w:abstractNum>
  <w:abstractNum w:abstractNumId="3" w15:restartNumberingAfterBreak="0">
    <w:nsid w:val="168E7FB1"/>
    <w:multiLevelType w:val="hybridMultilevel"/>
    <w:tmpl w:val="DFFA3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2F94"/>
    <w:multiLevelType w:val="hybridMultilevel"/>
    <w:tmpl w:val="4372C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57D9"/>
    <w:multiLevelType w:val="hybridMultilevel"/>
    <w:tmpl w:val="F2E4A2DA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4CE5"/>
    <w:multiLevelType w:val="hybridMultilevel"/>
    <w:tmpl w:val="CBC83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5DAF"/>
    <w:multiLevelType w:val="hybridMultilevel"/>
    <w:tmpl w:val="ABE4C2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5692"/>
    <w:multiLevelType w:val="hybridMultilevel"/>
    <w:tmpl w:val="222E8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793A"/>
    <w:multiLevelType w:val="hybridMultilevel"/>
    <w:tmpl w:val="E2A213C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9487E"/>
    <w:multiLevelType w:val="hybridMultilevel"/>
    <w:tmpl w:val="A5F08F42"/>
    <w:lvl w:ilvl="0" w:tplc="F3A46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41BD3"/>
    <w:multiLevelType w:val="hybridMultilevel"/>
    <w:tmpl w:val="53E6F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81A14"/>
    <w:multiLevelType w:val="hybridMultilevel"/>
    <w:tmpl w:val="85D60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1C7A"/>
    <w:multiLevelType w:val="hybridMultilevel"/>
    <w:tmpl w:val="3864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E70F9"/>
    <w:multiLevelType w:val="hybridMultilevel"/>
    <w:tmpl w:val="9F7A94E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5297"/>
    <w:multiLevelType w:val="hybridMultilevel"/>
    <w:tmpl w:val="6D8C1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4004A"/>
    <w:multiLevelType w:val="hybridMultilevel"/>
    <w:tmpl w:val="859C3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652D3"/>
    <w:multiLevelType w:val="hybridMultilevel"/>
    <w:tmpl w:val="6420BD82"/>
    <w:lvl w:ilvl="0" w:tplc="EDD81264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8" w15:restartNumberingAfterBreak="0">
    <w:nsid w:val="3973250F"/>
    <w:multiLevelType w:val="hybridMultilevel"/>
    <w:tmpl w:val="B686A8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91202"/>
    <w:multiLevelType w:val="hybridMultilevel"/>
    <w:tmpl w:val="81D8BA40"/>
    <w:lvl w:ilvl="0" w:tplc="40B84D7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1716"/>
    <w:multiLevelType w:val="hybridMultilevel"/>
    <w:tmpl w:val="D2E67BC4"/>
    <w:lvl w:ilvl="0" w:tplc="8D46177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D0326"/>
    <w:multiLevelType w:val="hybridMultilevel"/>
    <w:tmpl w:val="3864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514B1"/>
    <w:multiLevelType w:val="hybridMultilevel"/>
    <w:tmpl w:val="0AE0B620"/>
    <w:lvl w:ilvl="0" w:tplc="00000004">
      <w:start w:val="1"/>
      <w:numFmt w:val="bullet"/>
      <w:lvlText w:val=""/>
      <w:lvlJc w:val="left"/>
      <w:pPr>
        <w:ind w:left="105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 w15:restartNumberingAfterBreak="0">
    <w:nsid w:val="45FA3924"/>
    <w:multiLevelType w:val="hybridMultilevel"/>
    <w:tmpl w:val="98568546"/>
    <w:lvl w:ilvl="0" w:tplc="3EA8FF36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 w15:restartNumberingAfterBreak="0">
    <w:nsid w:val="4AE57832"/>
    <w:multiLevelType w:val="hybridMultilevel"/>
    <w:tmpl w:val="F10AC64C"/>
    <w:lvl w:ilvl="0" w:tplc="9EC0C6B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70EE"/>
    <w:multiLevelType w:val="hybridMultilevel"/>
    <w:tmpl w:val="899A80E0"/>
    <w:lvl w:ilvl="0" w:tplc="3F9256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6AA736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500A"/>
    <w:multiLevelType w:val="hybridMultilevel"/>
    <w:tmpl w:val="CBA6343E"/>
    <w:lvl w:ilvl="0" w:tplc="998864D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154C2"/>
    <w:multiLevelType w:val="hybridMultilevel"/>
    <w:tmpl w:val="9BE297CE"/>
    <w:lvl w:ilvl="0" w:tplc="04150017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8" w15:restartNumberingAfterBreak="0">
    <w:nsid w:val="502017F9"/>
    <w:multiLevelType w:val="hybridMultilevel"/>
    <w:tmpl w:val="A4807176"/>
    <w:lvl w:ilvl="0" w:tplc="EDD812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33851D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40AF8"/>
    <w:multiLevelType w:val="hybridMultilevel"/>
    <w:tmpl w:val="1E7247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E62BF6"/>
    <w:multiLevelType w:val="hybridMultilevel"/>
    <w:tmpl w:val="64ACAE8E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C6C8A"/>
    <w:multiLevelType w:val="hybridMultilevel"/>
    <w:tmpl w:val="3864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E71F0"/>
    <w:multiLevelType w:val="hybridMultilevel"/>
    <w:tmpl w:val="3864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9495C"/>
    <w:multiLevelType w:val="hybridMultilevel"/>
    <w:tmpl w:val="3864B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11C8B"/>
    <w:multiLevelType w:val="hybridMultilevel"/>
    <w:tmpl w:val="2E1EAAFE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30427"/>
    <w:multiLevelType w:val="hybridMultilevel"/>
    <w:tmpl w:val="79F4EE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8D1A7B"/>
    <w:multiLevelType w:val="hybridMultilevel"/>
    <w:tmpl w:val="79F4EE0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CD44DD"/>
    <w:multiLevelType w:val="hybridMultilevel"/>
    <w:tmpl w:val="33EA09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8" w15:restartNumberingAfterBreak="0">
    <w:nsid w:val="6A1F6759"/>
    <w:multiLevelType w:val="hybridMultilevel"/>
    <w:tmpl w:val="F6687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86DDD"/>
    <w:multiLevelType w:val="hybridMultilevel"/>
    <w:tmpl w:val="F3800688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F34B8"/>
    <w:multiLevelType w:val="hybridMultilevel"/>
    <w:tmpl w:val="8FDEDC84"/>
    <w:lvl w:ilvl="0" w:tplc="CA0E2B6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7710D"/>
    <w:multiLevelType w:val="hybridMultilevel"/>
    <w:tmpl w:val="9C5AB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018A1"/>
    <w:multiLevelType w:val="hybridMultilevel"/>
    <w:tmpl w:val="F13C1F48"/>
    <w:lvl w:ilvl="0" w:tplc="A4C6D3FC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B56E5"/>
    <w:multiLevelType w:val="hybridMultilevel"/>
    <w:tmpl w:val="8CD08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37"/>
  </w:num>
  <w:num w:numId="4">
    <w:abstractNumId w:val="28"/>
  </w:num>
  <w:num w:numId="5">
    <w:abstractNumId w:val="24"/>
  </w:num>
  <w:num w:numId="6">
    <w:abstractNumId w:val="17"/>
  </w:num>
  <w:num w:numId="7">
    <w:abstractNumId w:val="23"/>
  </w:num>
  <w:num w:numId="8">
    <w:abstractNumId w:val="27"/>
  </w:num>
  <w:num w:numId="9">
    <w:abstractNumId w:val="43"/>
  </w:num>
  <w:num w:numId="10">
    <w:abstractNumId w:val="38"/>
  </w:num>
  <w:num w:numId="11">
    <w:abstractNumId w:val="3"/>
  </w:num>
  <w:num w:numId="12">
    <w:abstractNumId w:val="8"/>
  </w:num>
  <w:num w:numId="13">
    <w:abstractNumId w:val="40"/>
  </w:num>
  <w:num w:numId="14">
    <w:abstractNumId w:val="26"/>
  </w:num>
  <w:num w:numId="15">
    <w:abstractNumId w:val="19"/>
  </w:num>
  <w:num w:numId="16">
    <w:abstractNumId w:val="20"/>
  </w:num>
  <w:num w:numId="17">
    <w:abstractNumId w:val="18"/>
  </w:num>
  <w:num w:numId="18">
    <w:abstractNumId w:val="1"/>
  </w:num>
  <w:num w:numId="19">
    <w:abstractNumId w:val="14"/>
  </w:num>
  <w:num w:numId="20">
    <w:abstractNumId w:val="22"/>
  </w:num>
  <w:num w:numId="21">
    <w:abstractNumId w:val="5"/>
  </w:num>
  <w:num w:numId="22">
    <w:abstractNumId w:val="42"/>
  </w:num>
  <w:num w:numId="23">
    <w:abstractNumId w:val="34"/>
  </w:num>
  <w:num w:numId="24">
    <w:abstractNumId w:val="39"/>
  </w:num>
  <w:num w:numId="25">
    <w:abstractNumId w:val="30"/>
  </w:num>
  <w:num w:numId="26">
    <w:abstractNumId w:val="9"/>
  </w:num>
  <w:num w:numId="27">
    <w:abstractNumId w:val="35"/>
  </w:num>
  <w:num w:numId="28">
    <w:abstractNumId w:val="36"/>
  </w:num>
  <w:num w:numId="29">
    <w:abstractNumId w:val="15"/>
  </w:num>
  <w:num w:numId="30">
    <w:abstractNumId w:val="13"/>
  </w:num>
  <w:num w:numId="31">
    <w:abstractNumId w:val="31"/>
  </w:num>
  <w:num w:numId="32">
    <w:abstractNumId w:val="21"/>
  </w:num>
  <w:num w:numId="33">
    <w:abstractNumId w:val="32"/>
  </w:num>
  <w:num w:numId="34">
    <w:abstractNumId w:val="33"/>
  </w:num>
  <w:num w:numId="35">
    <w:abstractNumId w:val="12"/>
  </w:num>
  <w:num w:numId="36">
    <w:abstractNumId w:val="7"/>
  </w:num>
  <w:num w:numId="37">
    <w:abstractNumId w:val="11"/>
  </w:num>
  <w:num w:numId="38">
    <w:abstractNumId w:val="16"/>
  </w:num>
  <w:num w:numId="39">
    <w:abstractNumId w:val="4"/>
  </w:num>
  <w:num w:numId="40">
    <w:abstractNumId w:val="10"/>
  </w:num>
  <w:num w:numId="41">
    <w:abstractNumId w:val="29"/>
  </w:num>
  <w:num w:numId="42">
    <w:abstractNumId w:val="6"/>
  </w:num>
  <w:num w:numId="43">
    <w:abstractNumId w:val="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85"/>
    <w:rsid w:val="0000364B"/>
    <w:rsid w:val="0001089C"/>
    <w:rsid w:val="0003232B"/>
    <w:rsid w:val="00035197"/>
    <w:rsid w:val="00042EE4"/>
    <w:rsid w:val="000523FB"/>
    <w:rsid w:val="000569FE"/>
    <w:rsid w:val="00060E3E"/>
    <w:rsid w:val="00062F80"/>
    <w:rsid w:val="0006652D"/>
    <w:rsid w:val="000877D2"/>
    <w:rsid w:val="000B2A61"/>
    <w:rsid w:val="000B38E2"/>
    <w:rsid w:val="000C46F7"/>
    <w:rsid w:val="000D4CB9"/>
    <w:rsid w:val="000D6F00"/>
    <w:rsid w:val="000E53D1"/>
    <w:rsid w:val="000E5F01"/>
    <w:rsid w:val="000E61A4"/>
    <w:rsid w:val="000F67B9"/>
    <w:rsid w:val="00135380"/>
    <w:rsid w:val="0014312D"/>
    <w:rsid w:val="0014661B"/>
    <w:rsid w:val="00157AC9"/>
    <w:rsid w:val="00166A65"/>
    <w:rsid w:val="00171C14"/>
    <w:rsid w:val="001761A6"/>
    <w:rsid w:val="00177C99"/>
    <w:rsid w:val="00184BC5"/>
    <w:rsid w:val="001B795A"/>
    <w:rsid w:val="001D4396"/>
    <w:rsid w:val="001F6AAB"/>
    <w:rsid w:val="00215D09"/>
    <w:rsid w:val="002177BC"/>
    <w:rsid w:val="00226FB5"/>
    <w:rsid w:val="00227023"/>
    <w:rsid w:val="0022790C"/>
    <w:rsid w:val="00230926"/>
    <w:rsid w:val="00237493"/>
    <w:rsid w:val="00241063"/>
    <w:rsid w:val="00247B42"/>
    <w:rsid w:val="00251A77"/>
    <w:rsid w:val="00257476"/>
    <w:rsid w:val="002578F1"/>
    <w:rsid w:val="00262E65"/>
    <w:rsid w:val="00281471"/>
    <w:rsid w:val="002B565A"/>
    <w:rsid w:val="002D20FE"/>
    <w:rsid w:val="002D7DCA"/>
    <w:rsid w:val="002E687C"/>
    <w:rsid w:val="003114E9"/>
    <w:rsid w:val="00311DCE"/>
    <w:rsid w:val="00312329"/>
    <w:rsid w:val="00316D33"/>
    <w:rsid w:val="00335135"/>
    <w:rsid w:val="0034535E"/>
    <w:rsid w:val="00347451"/>
    <w:rsid w:val="0038125E"/>
    <w:rsid w:val="003A22E1"/>
    <w:rsid w:val="003A4A06"/>
    <w:rsid w:val="003B1B6C"/>
    <w:rsid w:val="003B45D1"/>
    <w:rsid w:val="003B4DCA"/>
    <w:rsid w:val="003B7216"/>
    <w:rsid w:val="003D78B9"/>
    <w:rsid w:val="004002CE"/>
    <w:rsid w:val="004079C0"/>
    <w:rsid w:val="004323AF"/>
    <w:rsid w:val="004373EF"/>
    <w:rsid w:val="00440353"/>
    <w:rsid w:val="00442655"/>
    <w:rsid w:val="00444DE3"/>
    <w:rsid w:val="00453A58"/>
    <w:rsid w:val="00453F15"/>
    <w:rsid w:val="00463E32"/>
    <w:rsid w:val="00465C1A"/>
    <w:rsid w:val="004703B2"/>
    <w:rsid w:val="00480BA4"/>
    <w:rsid w:val="00495260"/>
    <w:rsid w:val="004A349C"/>
    <w:rsid w:val="004B47C2"/>
    <w:rsid w:val="004C7E56"/>
    <w:rsid w:val="004E2F27"/>
    <w:rsid w:val="004F3406"/>
    <w:rsid w:val="004F47EE"/>
    <w:rsid w:val="004F7767"/>
    <w:rsid w:val="00521739"/>
    <w:rsid w:val="0052728F"/>
    <w:rsid w:val="005363BC"/>
    <w:rsid w:val="00542BDA"/>
    <w:rsid w:val="005550A0"/>
    <w:rsid w:val="0056378E"/>
    <w:rsid w:val="0056594A"/>
    <w:rsid w:val="005667F5"/>
    <w:rsid w:val="005868D8"/>
    <w:rsid w:val="005909BC"/>
    <w:rsid w:val="00595468"/>
    <w:rsid w:val="00597221"/>
    <w:rsid w:val="005A4AB1"/>
    <w:rsid w:val="005B5102"/>
    <w:rsid w:val="005B6034"/>
    <w:rsid w:val="005B7CBE"/>
    <w:rsid w:val="005D0011"/>
    <w:rsid w:val="005D2805"/>
    <w:rsid w:val="005E4A6F"/>
    <w:rsid w:val="00600D17"/>
    <w:rsid w:val="00605E5B"/>
    <w:rsid w:val="00612F74"/>
    <w:rsid w:val="00624AA1"/>
    <w:rsid w:val="006323A3"/>
    <w:rsid w:val="006447F2"/>
    <w:rsid w:val="0067787F"/>
    <w:rsid w:val="00681ADF"/>
    <w:rsid w:val="00684D50"/>
    <w:rsid w:val="00685DE1"/>
    <w:rsid w:val="006929A4"/>
    <w:rsid w:val="00694ED0"/>
    <w:rsid w:val="006A5317"/>
    <w:rsid w:val="006D40FB"/>
    <w:rsid w:val="006E5DDF"/>
    <w:rsid w:val="006F5E0A"/>
    <w:rsid w:val="006F6E9E"/>
    <w:rsid w:val="007109F3"/>
    <w:rsid w:val="00713702"/>
    <w:rsid w:val="00722B19"/>
    <w:rsid w:val="00780A5B"/>
    <w:rsid w:val="00786323"/>
    <w:rsid w:val="0078692F"/>
    <w:rsid w:val="00787CE1"/>
    <w:rsid w:val="00792652"/>
    <w:rsid w:val="007A4AA6"/>
    <w:rsid w:val="007A76D0"/>
    <w:rsid w:val="007B3203"/>
    <w:rsid w:val="007C39FF"/>
    <w:rsid w:val="007D7994"/>
    <w:rsid w:val="007E4636"/>
    <w:rsid w:val="007E70C4"/>
    <w:rsid w:val="008050CA"/>
    <w:rsid w:val="00807892"/>
    <w:rsid w:val="00820AFA"/>
    <w:rsid w:val="00832939"/>
    <w:rsid w:val="008361CD"/>
    <w:rsid w:val="008472D3"/>
    <w:rsid w:val="0085413C"/>
    <w:rsid w:val="00857908"/>
    <w:rsid w:val="00866B91"/>
    <w:rsid w:val="008703CE"/>
    <w:rsid w:val="008724FB"/>
    <w:rsid w:val="008A62D7"/>
    <w:rsid w:val="008C0E52"/>
    <w:rsid w:val="008C0F44"/>
    <w:rsid w:val="008C1B37"/>
    <w:rsid w:val="008C21E6"/>
    <w:rsid w:val="008C425B"/>
    <w:rsid w:val="008F543D"/>
    <w:rsid w:val="00902076"/>
    <w:rsid w:val="009059F9"/>
    <w:rsid w:val="009064BE"/>
    <w:rsid w:val="009129DC"/>
    <w:rsid w:val="00920142"/>
    <w:rsid w:val="00922E96"/>
    <w:rsid w:val="00927396"/>
    <w:rsid w:val="009356F0"/>
    <w:rsid w:val="00941EFB"/>
    <w:rsid w:val="00943A95"/>
    <w:rsid w:val="00943BCF"/>
    <w:rsid w:val="00945F24"/>
    <w:rsid w:val="0095159E"/>
    <w:rsid w:val="0096238A"/>
    <w:rsid w:val="00964B6C"/>
    <w:rsid w:val="00966D4F"/>
    <w:rsid w:val="00970CC1"/>
    <w:rsid w:val="00971F26"/>
    <w:rsid w:val="00973E08"/>
    <w:rsid w:val="009917E6"/>
    <w:rsid w:val="00994578"/>
    <w:rsid w:val="00996627"/>
    <w:rsid w:val="00997334"/>
    <w:rsid w:val="009C0390"/>
    <w:rsid w:val="009C3DE5"/>
    <w:rsid w:val="009C5A2C"/>
    <w:rsid w:val="009D14FB"/>
    <w:rsid w:val="009D498A"/>
    <w:rsid w:val="009D6D2C"/>
    <w:rsid w:val="009D7FC7"/>
    <w:rsid w:val="009E22BD"/>
    <w:rsid w:val="009E5EFE"/>
    <w:rsid w:val="009E7D2E"/>
    <w:rsid w:val="009F6BC4"/>
    <w:rsid w:val="00A031D6"/>
    <w:rsid w:val="00A06B56"/>
    <w:rsid w:val="00A20C3A"/>
    <w:rsid w:val="00A22829"/>
    <w:rsid w:val="00A35672"/>
    <w:rsid w:val="00A358B7"/>
    <w:rsid w:val="00A40D1D"/>
    <w:rsid w:val="00A665E9"/>
    <w:rsid w:val="00A7578D"/>
    <w:rsid w:val="00A835F4"/>
    <w:rsid w:val="00A86B8C"/>
    <w:rsid w:val="00A86D38"/>
    <w:rsid w:val="00A95077"/>
    <w:rsid w:val="00AB4E0C"/>
    <w:rsid w:val="00AC6FB4"/>
    <w:rsid w:val="00AD5173"/>
    <w:rsid w:val="00AE0D85"/>
    <w:rsid w:val="00AF357F"/>
    <w:rsid w:val="00AF4B20"/>
    <w:rsid w:val="00AF4DB6"/>
    <w:rsid w:val="00B0060C"/>
    <w:rsid w:val="00B16179"/>
    <w:rsid w:val="00B22EFC"/>
    <w:rsid w:val="00B24105"/>
    <w:rsid w:val="00B41B35"/>
    <w:rsid w:val="00B43351"/>
    <w:rsid w:val="00B50F0F"/>
    <w:rsid w:val="00B61AC3"/>
    <w:rsid w:val="00B8099A"/>
    <w:rsid w:val="00B82430"/>
    <w:rsid w:val="00B945D8"/>
    <w:rsid w:val="00BA12C1"/>
    <w:rsid w:val="00BB65F6"/>
    <w:rsid w:val="00BC1E9E"/>
    <w:rsid w:val="00BC31CF"/>
    <w:rsid w:val="00BC3F3B"/>
    <w:rsid w:val="00BE6B64"/>
    <w:rsid w:val="00BF2708"/>
    <w:rsid w:val="00BF2EA9"/>
    <w:rsid w:val="00C017B5"/>
    <w:rsid w:val="00C04740"/>
    <w:rsid w:val="00C04944"/>
    <w:rsid w:val="00C30C30"/>
    <w:rsid w:val="00C32262"/>
    <w:rsid w:val="00C51A5F"/>
    <w:rsid w:val="00C52C3D"/>
    <w:rsid w:val="00C74120"/>
    <w:rsid w:val="00C759B3"/>
    <w:rsid w:val="00C83534"/>
    <w:rsid w:val="00C85A70"/>
    <w:rsid w:val="00C9477E"/>
    <w:rsid w:val="00CB6968"/>
    <w:rsid w:val="00CC328A"/>
    <w:rsid w:val="00CD15B7"/>
    <w:rsid w:val="00CE47C1"/>
    <w:rsid w:val="00D0597C"/>
    <w:rsid w:val="00D1208F"/>
    <w:rsid w:val="00D36DB5"/>
    <w:rsid w:val="00D43F01"/>
    <w:rsid w:val="00D67D83"/>
    <w:rsid w:val="00D7537B"/>
    <w:rsid w:val="00D8259B"/>
    <w:rsid w:val="00D9553C"/>
    <w:rsid w:val="00DA1E5B"/>
    <w:rsid w:val="00DA3407"/>
    <w:rsid w:val="00DA3674"/>
    <w:rsid w:val="00DA53A5"/>
    <w:rsid w:val="00DA771F"/>
    <w:rsid w:val="00DB0FA0"/>
    <w:rsid w:val="00DB3C3D"/>
    <w:rsid w:val="00DB6EA6"/>
    <w:rsid w:val="00DC0275"/>
    <w:rsid w:val="00DC2B32"/>
    <w:rsid w:val="00DC649B"/>
    <w:rsid w:val="00DD03BF"/>
    <w:rsid w:val="00DF5CC7"/>
    <w:rsid w:val="00E10B69"/>
    <w:rsid w:val="00E246D7"/>
    <w:rsid w:val="00E25DA3"/>
    <w:rsid w:val="00E27C7D"/>
    <w:rsid w:val="00E32410"/>
    <w:rsid w:val="00E32C2C"/>
    <w:rsid w:val="00E36324"/>
    <w:rsid w:val="00E41401"/>
    <w:rsid w:val="00E455AD"/>
    <w:rsid w:val="00E501FC"/>
    <w:rsid w:val="00E7609F"/>
    <w:rsid w:val="00E90FCA"/>
    <w:rsid w:val="00EA12D7"/>
    <w:rsid w:val="00EA4382"/>
    <w:rsid w:val="00EC4030"/>
    <w:rsid w:val="00EC457C"/>
    <w:rsid w:val="00EF5095"/>
    <w:rsid w:val="00EF6DE4"/>
    <w:rsid w:val="00F00B28"/>
    <w:rsid w:val="00F00C80"/>
    <w:rsid w:val="00F03785"/>
    <w:rsid w:val="00F0644E"/>
    <w:rsid w:val="00F110A8"/>
    <w:rsid w:val="00F21580"/>
    <w:rsid w:val="00F221F8"/>
    <w:rsid w:val="00F240A5"/>
    <w:rsid w:val="00F262F9"/>
    <w:rsid w:val="00F32118"/>
    <w:rsid w:val="00F3576E"/>
    <w:rsid w:val="00F4177B"/>
    <w:rsid w:val="00F428FA"/>
    <w:rsid w:val="00F451C9"/>
    <w:rsid w:val="00F4794C"/>
    <w:rsid w:val="00F538A6"/>
    <w:rsid w:val="00F55407"/>
    <w:rsid w:val="00F6351E"/>
    <w:rsid w:val="00F75521"/>
    <w:rsid w:val="00F92FA9"/>
    <w:rsid w:val="00F97B76"/>
    <w:rsid w:val="00FA0522"/>
    <w:rsid w:val="00FB142E"/>
    <w:rsid w:val="00FB4DB3"/>
    <w:rsid w:val="00FB50D7"/>
    <w:rsid w:val="00FB6B32"/>
    <w:rsid w:val="00FB7418"/>
    <w:rsid w:val="00FE0148"/>
    <w:rsid w:val="00FE0DB6"/>
    <w:rsid w:val="00FE5159"/>
    <w:rsid w:val="00FF248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C7847"/>
  <w15:chartTrackingRefBased/>
  <w15:docId w15:val="{B27D303F-2C14-44B8-AFA9-6FA4EF10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3A58"/>
    <w:pPr>
      <w:keepNext/>
      <w:spacing w:line="360" w:lineRule="auto"/>
      <w:outlineLvl w:val="0"/>
    </w:pPr>
    <w:rPr>
      <w:rFonts w:ascii="Bookman Old Style" w:hAnsi="Bookman Old Style"/>
      <w:b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3A58"/>
    <w:pPr>
      <w:keepNext/>
      <w:spacing w:line="360" w:lineRule="auto"/>
      <w:jc w:val="center"/>
      <w:outlineLvl w:val="1"/>
    </w:pPr>
    <w:rPr>
      <w:rFonts w:ascii="Bookman Old Style" w:hAnsi="Bookman Old Style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53A58"/>
    <w:pPr>
      <w:keepNext/>
      <w:spacing w:line="360" w:lineRule="auto"/>
      <w:outlineLvl w:val="2"/>
    </w:pPr>
    <w:rPr>
      <w:rFonts w:ascii="Bookman Old Style" w:hAnsi="Bookman Old Style"/>
      <w:b/>
      <w:szCs w:val="20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53A58"/>
    <w:pPr>
      <w:keepNext/>
      <w:jc w:val="center"/>
      <w:outlineLvl w:val="3"/>
    </w:pPr>
    <w:rPr>
      <w:rFonts w:ascii="Bookman Old Style" w:hAnsi="Bookman Old Style"/>
      <w:b/>
      <w:sz w:val="20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53A58"/>
    <w:pPr>
      <w:keepNext/>
      <w:jc w:val="center"/>
      <w:outlineLvl w:val="4"/>
    </w:pPr>
    <w:rPr>
      <w:rFonts w:ascii="Bookman Old Style" w:hAnsi="Bookman Old Style"/>
      <w:b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53A58"/>
    <w:pPr>
      <w:keepNext/>
      <w:spacing w:line="360" w:lineRule="auto"/>
      <w:outlineLvl w:val="5"/>
    </w:pPr>
    <w:rPr>
      <w:rFonts w:ascii="Bookman Old Style" w:hAnsi="Bookman Old Style"/>
      <w:b/>
      <w:spacing w:val="20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53A58"/>
    <w:pPr>
      <w:keepNext/>
      <w:spacing w:line="360" w:lineRule="auto"/>
      <w:outlineLvl w:val="6"/>
    </w:pPr>
    <w:rPr>
      <w:rFonts w:ascii="Bookman Old Style" w:hAnsi="Bookman Old Style"/>
      <w:szCs w:val="20"/>
      <w:lang w:val="en-US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53A58"/>
    <w:pPr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53A58"/>
    <w:pPr>
      <w:keepNext/>
      <w:outlineLvl w:val="8"/>
    </w:pPr>
    <w:rPr>
      <w:b/>
      <w:sz w:val="18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7B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1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7B5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453A58"/>
    <w:rPr>
      <w:rFonts w:ascii="Bookman Old Style" w:hAnsi="Bookman Old Style"/>
      <w:b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453A58"/>
    <w:rPr>
      <w:rFonts w:ascii="Bookman Old Style" w:hAnsi="Bookman Old Style"/>
      <w:b/>
    </w:rPr>
  </w:style>
  <w:style w:type="character" w:customStyle="1" w:styleId="Nagwek3Znak">
    <w:name w:val="Nagłówek 3 Znak"/>
    <w:basedOn w:val="Domylnaczcionkaakapitu"/>
    <w:link w:val="Nagwek3"/>
    <w:uiPriority w:val="99"/>
    <w:rsid w:val="00453A58"/>
    <w:rPr>
      <w:rFonts w:ascii="Bookman Old Style" w:hAnsi="Bookman Old Style"/>
      <w:b/>
      <w:sz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453A58"/>
    <w:rPr>
      <w:rFonts w:ascii="Bookman Old Style" w:hAnsi="Bookman Old Style"/>
      <w:b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453A58"/>
    <w:rPr>
      <w:rFonts w:ascii="Bookman Old Style" w:hAnsi="Bookman Old Style"/>
      <w:b/>
      <w:lang w:val="en-GB"/>
    </w:rPr>
  </w:style>
  <w:style w:type="character" w:customStyle="1" w:styleId="Nagwek6Znak">
    <w:name w:val="Nagłówek 6 Znak"/>
    <w:basedOn w:val="Domylnaczcionkaakapitu"/>
    <w:link w:val="Nagwek6"/>
    <w:uiPriority w:val="99"/>
    <w:rsid w:val="00453A58"/>
    <w:rPr>
      <w:rFonts w:ascii="Bookman Old Style" w:hAnsi="Bookman Old Style"/>
      <w:b/>
      <w:spacing w:val="20"/>
      <w:sz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453A58"/>
    <w:rPr>
      <w:rFonts w:ascii="Bookman Old Style" w:hAnsi="Bookman Old Style"/>
      <w:sz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453A5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453A58"/>
    <w:rPr>
      <w:b/>
      <w:sz w:val="18"/>
      <w:lang w:val="en-GB"/>
    </w:rPr>
  </w:style>
  <w:style w:type="character" w:styleId="Numerstrony">
    <w:name w:val="page number"/>
    <w:uiPriority w:val="99"/>
    <w:rsid w:val="00453A58"/>
    <w:rPr>
      <w:rFonts w:cs="Times New Roman"/>
    </w:rPr>
  </w:style>
  <w:style w:type="paragraph" w:styleId="Tekstpodstawowy">
    <w:name w:val="Body Text"/>
    <w:aliases w:val="body text"/>
    <w:basedOn w:val="Normalny"/>
    <w:link w:val="TekstpodstawowyZnak"/>
    <w:rsid w:val="00453A58"/>
    <w:rPr>
      <w:b/>
      <w:sz w:val="16"/>
      <w:szCs w:val="20"/>
      <w:lang w:eastAsia="pl-PL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453A58"/>
    <w:rPr>
      <w:b/>
      <w:sz w:val="16"/>
    </w:rPr>
  </w:style>
  <w:style w:type="paragraph" w:styleId="Tekstpodstawowy2">
    <w:name w:val="Body Text 2"/>
    <w:basedOn w:val="Normalny"/>
    <w:link w:val="Tekstpodstawowy2Znak"/>
    <w:uiPriority w:val="99"/>
    <w:rsid w:val="00453A58"/>
    <w:pPr>
      <w:spacing w:line="360" w:lineRule="auto"/>
      <w:jc w:val="center"/>
    </w:pPr>
    <w:rPr>
      <w:rFonts w:ascii="Bookman Old Style" w:hAnsi="Bookman Old Style"/>
      <w:b/>
      <w:sz w:val="20"/>
      <w:szCs w:val="20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3A58"/>
    <w:rPr>
      <w:rFonts w:ascii="Bookman Old Style" w:hAnsi="Bookman Old Style"/>
      <w:b/>
      <w:lang w:val="en-US"/>
    </w:rPr>
  </w:style>
  <w:style w:type="paragraph" w:styleId="Tekstpodstawowy3">
    <w:name w:val="Body Text 3"/>
    <w:basedOn w:val="Normalny"/>
    <w:link w:val="Tekstpodstawowy3Znak"/>
    <w:uiPriority w:val="99"/>
    <w:rsid w:val="00453A58"/>
    <w:pPr>
      <w:jc w:val="center"/>
    </w:pPr>
    <w:rPr>
      <w:rFonts w:ascii="Bookman Old Style" w:hAnsi="Bookman Old Style"/>
      <w:b/>
      <w:sz w:val="2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53A58"/>
    <w:rPr>
      <w:rFonts w:ascii="Bookman Old Style" w:hAnsi="Bookman Old Style"/>
      <w:b/>
      <w:sz w:val="22"/>
    </w:rPr>
  </w:style>
  <w:style w:type="character" w:styleId="Pogrubienie">
    <w:name w:val="Strong"/>
    <w:uiPriority w:val="99"/>
    <w:qFormat/>
    <w:rsid w:val="00453A58"/>
    <w:rPr>
      <w:rFonts w:cs="Times New Roman"/>
      <w:b/>
    </w:rPr>
  </w:style>
  <w:style w:type="character" w:customStyle="1" w:styleId="bold1">
    <w:name w:val="bold1"/>
    <w:uiPriority w:val="99"/>
    <w:rsid w:val="00453A58"/>
    <w:rPr>
      <w:rFonts w:ascii="Arial" w:hAnsi="Arial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453A58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58"/>
    <w:rPr>
      <w:rFonts w:ascii="Tahoma" w:hAnsi="Tahoma" w:cs="Tahoma"/>
      <w:sz w:val="16"/>
      <w:szCs w:val="16"/>
    </w:rPr>
  </w:style>
  <w:style w:type="character" w:styleId="Uwydatnienie">
    <w:name w:val="Emphasis"/>
    <w:uiPriority w:val="99"/>
    <w:qFormat/>
    <w:rsid w:val="00453A58"/>
    <w:rPr>
      <w:rFonts w:cs="Times New Roman"/>
      <w:i/>
    </w:rPr>
  </w:style>
  <w:style w:type="paragraph" w:customStyle="1" w:styleId="BezformatowaniaA">
    <w:name w:val="Bez formatowania A"/>
    <w:uiPriority w:val="99"/>
    <w:rsid w:val="00453A58"/>
    <w:rPr>
      <w:rFonts w:ascii="Arial" w:hAnsi="Arial"/>
      <w:color w:val="000000"/>
    </w:rPr>
  </w:style>
  <w:style w:type="paragraph" w:customStyle="1" w:styleId="Style19">
    <w:name w:val="Style19"/>
    <w:uiPriority w:val="99"/>
    <w:rsid w:val="00453A58"/>
    <w:pPr>
      <w:widowControl w:val="0"/>
      <w:spacing w:line="230" w:lineRule="exact"/>
      <w:jc w:val="center"/>
    </w:pPr>
    <w:rPr>
      <w:rFonts w:ascii="Arial Unicode MS" w:eastAsia="Arial Unicode MS"/>
      <w:color w:val="000000"/>
      <w:sz w:val="24"/>
    </w:rPr>
  </w:style>
  <w:style w:type="paragraph" w:customStyle="1" w:styleId="H-TextFormat">
    <w:name w:val="H-TextFormat"/>
    <w:rsid w:val="00453A58"/>
    <w:pPr>
      <w:suppressAutoHyphens/>
    </w:pPr>
    <w:rPr>
      <w:rFonts w:ascii="Arial" w:hAnsi="Arial"/>
      <w:color w:val="000000"/>
      <w:sz w:val="22"/>
      <w:lang w:val="en-US"/>
    </w:rPr>
  </w:style>
  <w:style w:type="paragraph" w:customStyle="1" w:styleId="Normalny1">
    <w:name w:val="Normalny1"/>
    <w:uiPriority w:val="99"/>
    <w:rsid w:val="00453A58"/>
    <w:pPr>
      <w:spacing w:after="200" w:line="276" w:lineRule="auto"/>
    </w:pPr>
    <w:rPr>
      <w:rFonts w:ascii="Arial" w:hAnsi="Arial"/>
      <w:color w:val="000000"/>
      <w:sz w:val="22"/>
    </w:rPr>
  </w:style>
  <w:style w:type="paragraph" w:customStyle="1" w:styleId="Tekstpodstawowy22">
    <w:name w:val="Tekst podstawowy 22"/>
    <w:uiPriority w:val="99"/>
    <w:rsid w:val="00453A58"/>
    <w:rPr>
      <w:color w:val="000000"/>
      <w:sz w:val="22"/>
    </w:rPr>
  </w:style>
  <w:style w:type="paragraph" w:customStyle="1" w:styleId="Stopka1">
    <w:name w:val="Stopka1"/>
    <w:uiPriority w:val="99"/>
    <w:rsid w:val="00453A58"/>
    <w:pPr>
      <w:tabs>
        <w:tab w:val="center" w:pos="4536"/>
        <w:tab w:val="right" w:pos="9072"/>
      </w:tabs>
    </w:pPr>
    <w:rPr>
      <w:color w:val="00000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53A58"/>
    <w:pPr>
      <w:suppressAutoHyphens/>
    </w:pPr>
    <w:rPr>
      <w:rFonts w:ascii="Arial" w:hAnsi="Arial" w:cs="Arial"/>
      <w:b/>
      <w:bCs/>
      <w:sz w:val="22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453A58"/>
    <w:rPr>
      <w:rFonts w:ascii="Arial" w:hAnsi="Arial" w:cs="Arial"/>
      <w:b/>
      <w:bCs/>
      <w:sz w:val="22"/>
      <w:szCs w:val="24"/>
      <w:lang w:eastAsia="zh-CN"/>
    </w:rPr>
  </w:style>
  <w:style w:type="table" w:styleId="Tabela-Siatka">
    <w:name w:val="Table Grid"/>
    <w:basedOn w:val="Standardowy"/>
    <w:uiPriority w:val="59"/>
    <w:rsid w:val="00453A5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1">
    <w:name w:val="WW-Tekst podstawowy 21"/>
    <w:basedOn w:val="Normalny"/>
    <w:rsid w:val="00453A58"/>
    <w:pPr>
      <w:suppressAutoHyphens/>
      <w:ind w:right="-284"/>
    </w:pPr>
    <w:rPr>
      <w:rFonts w:ascii="Arial" w:hAnsi="Arial" w:cs="Arial"/>
      <w:sz w:val="20"/>
      <w:szCs w:val="20"/>
      <w:lang w:eastAsia="zh-CN"/>
    </w:rPr>
  </w:style>
  <w:style w:type="paragraph" w:customStyle="1" w:styleId="ListaP3">
    <w:name w:val="ListaP3"/>
    <w:basedOn w:val="Normalny"/>
    <w:rsid w:val="00453A58"/>
    <w:pPr>
      <w:numPr>
        <w:numId w:val="1"/>
      </w:numPr>
      <w:suppressAutoHyphens/>
    </w:pPr>
    <w:rPr>
      <w:sz w:val="20"/>
      <w:szCs w:val="20"/>
      <w:lang w:eastAsia="zh-CN"/>
    </w:rPr>
  </w:style>
  <w:style w:type="paragraph" w:customStyle="1" w:styleId="Default">
    <w:name w:val="Default"/>
    <w:rsid w:val="00453A58"/>
    <w:pPr>
      <w:autoSpaceDE w:val="0"/>
      <w:autoSpaceDN w:val="0"/>
      <w:adjustRightInd w:val="0"/>
    </w:pPr>
    <w:rPr>
      <w:rFonts w:ascii="Siemens Sans" w:hAnsi="Siemens Sans" w:cs="Siemens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A58"/>
    <w:pPr>
      <w:ind w:left="708"/>
    </w:pPr>
    <w:rPr>
      <w:sz w:val="20"/>
      <w:szCs w:val="20"/>
      <w:lang w:eastAsia="pl-PL"/>
    </w:rPr>
  </w:style>
  <w:style w:type="character" w:customStyle="1" w:styleId="FontStyle119">
    <w:name w:val="Font Style119"/>
    <w:rsid w:val="00453A58"/>
    <w:rPr>
      <w:rFonts w:ascii="Book Antiqua" w:hAnsi="Book Antiqua"/>
      <w:sz w:val="16"/>
    </w:rPr>
  </w:style>
  <w:style w:type="paragraph" w:customStyle="1" w:styleId="Zawartotabeli">
    <w:name w:val="Zawartość tabeli"/>
    <w:basedOn w:val="Normalny"/>
    <w:rsid w:val="00453A58"/>
    <w:pPr>
      <w:widowControl w:val="0"/>
      <w:suppressLineNumbers/>
      <w:suppressAutoHyphens/>
    </w:pPr>
    <w:rPr>
      <w:rFonts w:eastAsia="SimSun"/>
      <w:kern w:val="1"/>
      <w:lang w:eastAsia="ar-SA"/>
    </w:rPr>
  </w:style>
  <w:style w:type="paragraph" w:styleId="NormalnyWeb">
    <w:name w:val="Normal (Web)"/>
    <w:basedOn w:val="Normalny"/>
    <w:rsid w:val="00453A58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53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A58"/>
    <w:rPr>
      <w:rFonts w:ascii="Calibri Light" w:hAnsi="Calibri Light"/>
      <w:sz w:val="22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A58"/>
    <w:rPr>
      <w:rFonts w:ascii="Calibri Light" w:hAnsi="Calibri Light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A58"/>
    <w:rPr>
      <w:rFonts w:ascii="Calibri Light" w:hAnsi="Calibri Light"/>
      <w:b/>
      <w:bCs/>
      <w:sz w:val="22"/>
    </w:rPr>
  </w:style>
  <w:style w:type="paragraph" w:customStyle="1" w:styleId="Akapitzlist2">
    <w:name w:val="Akapit z listą2"/>
    <w:basedOn w:val="Normalny"/>
    <w:rsid w:val="00453A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37">
    <w:name w:val="Font Style37"/>
    <w:rsid w:val="00453A58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A58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A58"/>
  </w:style>
  <w:style w:type="character" w:styleId="Odwoanieprzypisukocowego">
    <w:name w:val="endnote reference"/>
    <w:uiPriority w:val="99"/>
    <w:semiHidden/>
    <w:unhideWhenUsed/>
    <w:rsid w:val="00453A58"/>
    <w:rPr>
      <w:vertAlign w:val="superscript"/>
    </w:rPr>
  </w:style>
  <w:style w:type="character" w:styleId="Hipercze">
    <w:name w:val="Hyperlink"/>
    <w:uiPriority w:val="99"/>
    <w:unhideWhenUsed/>
    <w:rsid w:val="00453A58"/>
    <w:rPr>
      <w:color w:val="0563C1"/>
      <w:u w:val="single"/>
    </w:rPr>
  </w:style>
  <w:style w:type="paragraph" w:styleId="Bezodstpw">
    <w:name w:val="No Spacing"/>
    <w:uiPriority w:val="1"/>
    <w:qFormat/>
    <w:rsid w:val="00453A58"/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Tekstkomentarza"/>
    <w:autoRedefine/>
    <w:qFormat/>
    <w:rsid w:val="00453A58"/>
    <w:rPr>
      <w:rFonts w:cs="Calibri Light"/>
      <w:szCs w:val="22"/>
    </w:rPr>
  </w:style>
  <w:style w:type="paragraph" w:customStyle="1" w:styleId="ZnakZnak">
    <w:name w:val="Znak Znak"/>
    <w:basedOn w:val="Normalny"/>
    <w:rsid w:val="00453A58"/>
    <w:rPr>
      <w:lang w:eastAsia="pl-PL"/>
    </w:rPr>
  </w:style>
  <w:style w:type="paragraph" w:customStyle="1" w:styleId="Standard">
    <w:name w:val="Standard"/>
    <w:qFormat/>
    <w:rsid w:val="00453A58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character" w:customStyle="1" w:styleId="FontStyle18">
    <w:name w:val="Font Style18"/>
    <w:rsid w:val="00453A5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31F9-0B8D-49AE-A31C-5F19B2B1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3618</Words>
  <Characters>25222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Lesław Peter</cp:lastModifiedBy>
  <cp:revision>10</cp:revision>
  <dcterms:created xsi:type="dcterms:W3CDTF">2023-02-02T12:44:00Z</dcterms:created>
  <dcterms:modified xsi:type="dcterms:W3CDTF">2023-02-03T08:17:00Z</dcterms:modified>
</cp:coreProperties>
</file>